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580" w:rsidRPr="00F00D58" w:rsidRDefault="00F00D58" w:rsidP="00F00D58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F00D58">
        <w:rPr>
          <w:rFonts w:ascii="Comic Sans MS" w:hAnsi="Comic Sans MS"/>
          <w:b/>
          <w:color w:val="FF0000"/>
          <w:szCs w:val="20"/>
          <w:u w:val="single"/>
        </w:rPr>
        <w:t>EM</w:t>
      </w:r>
    </w:p>
    <w:p w:rsidR="00F00D58" w:rsidRDefault="00F00D58" w:rsidP="00E06580"/>
    <w:p w:rsidR="00C0281B" w:rsidRPr="00C0281B" w:rsidRDefault="00C0281B" w:rsidP="00C0281B">
      <w:pPr>
        <w:tabs>
          <w:tab w:val="left" w:pos="3080"/>
        </w:tabs>
        <w:rPr>
          <w:rFonts w:ascii="Comic Sans MS" w:hAnsi="Comic Sans MS"/>
        </w:rPr>
      </w:pPr>
      <w:r w:rsidRPr="00C0281B">
        <w:rPr>
          <w:rFonts w:ascii="Comic Sans MS" w:hAnsi="Comic Sans MS"/>
        </w:rPr>
        <w:t xml:space="preserve">On considère une situation dans laquelle le champ électrique s'écrit : </w:t>
      </w:r>
      <m:oMath>
        <m:acc>
          <m:accPr>
            <m:chr m:val="⃗"/>
            <m:ctrlPr>
              <w:rPr>
                <w:rFonts w:ascii="Cambria Math" w:hAnsi="Comic Sans MS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  <m:d>
          <m:dPr>
            <m:ctrlPr>
              <w:rPr>
                <w:rFonts w:ascii="Cambria Math" w:hAnsi="Comic Sans MS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omic Sans MS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omic Sans MS"/>
          </w:rPr>
          <m:t xml:space="preserve">= </m:t>
        </m:r>
        <m:sSub>
          <m:sSubPr>
            <m:ctrlPr>
              <w:rPr>
                <w:rFonts w:ascii="Cambria Math" w:hAnsi="Comic Sans MS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omic Sans MS"/>
              </w:rPr>
              <m:t>0</m:t>
            </m:r>
          </m:sub>
        </m:sSub>
        <m:r>
          <w:rPr>
            <w:rFonts w:ascii="Cambria Math" w:hAnsi="Comic Sans MS"/>
          </w:rPr>
          <m:t xml:space="preserve"> </m:t>
        </m:r>
        <m:r>
          <w:rPr>
            <w:rFonts w:ascii="Cambria Math" w:hAnsi="Cambria Math"/>
          </w:rPr>
          <m:t>cos</m:t>
        </m:r>
        <m:d>
          <m:dPr>
            <m:ctrlPr>
              <w:rPr>
                <w:rFonts w:ascii="Cambria Math" w:hAnsi="Comic Sans MS"/>
                <w:i/>
              </w:rPr>
            </m:ctrlPr>
          </m:dPr>
          <m:e>
            <m:r>
              <w:rPr>
                <w:rFonts w:ascii="Cambria Math" w:hAnsi="Cambria Math"/>
              </w:rPr>
              <m:t>ωt</m:t>
            </m:r>
            <m:r>
              <w:rPr>
                <w:rFonts w:ascii="Cambria Math" w:hAnsi="Comic Sans MS"/>
              </w:rPr>
              <m:t>—</m:t>
            </m:r>
            <m:r>
              <w:rPr>
                <w:rFonts w:ascii="Cambria Math" w:hAnsi="Cambria Math"/>
              </w:rPr>
              <m:t>kx</m:t>
            </m:r>
          </m:e>
        </m:d>
        <m:r>
          <w:rPr>
            <w:rFonts w:ascii="Cambria Math" w:hAnsi="Comic Sans MS"/>
          </w:rPr>
          <m:t xml:space="preserve"> </m:t>
        </m:r>
        <m:acc>
          <m:accPr>
            <m:chr m:val="⃗"/>
            <m:ctrlPr>
              <w:rPr>
                <w:rFonts w:ascii="Cambria Math" w:hAnsi="Comic Sans MS"/>
                <w:i/>
              </w:rPr>
            </m:ctrlPr>
          </m:accPr>
          <m:e>
            <m:r>
              <w:rPr>
                <w:rFonts w:ascii="Cambria Math" w:hAnsi="Comic Sans MS"/>
              </w:rPr>
              <m:t xml:space="preserve"> </m:t>
            </m:r>
            <m:sSub>
              <m:sSubPr>
                <m:ctrlPr>
                  <w:rPr>
                    <w:rFonts w:ascii="Cambria Math" w:hAnsi="Comic Sans MS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e>
        </m:acc>
      </m:oMath>
    </w:p>
    <w:p w:rsidR="00C0281B" w:rsidRPr="00C0281B" w:rsidRDefault="008C63FA" w:rsidP="00C0281B">
      <w:pPr>
        <w:numPr>
          <w:ilvl w:val="0"/>
          <w:numId w:val="10"/>
        </w:numPr>
        <w:tabs>
          <w:tab w:val="left" w:pos="3080"/>
        </w:tabs>
        <w:contextualSpacing/>
        <w:rPr>
          <w:rFonts w:ascii="Comic Sans MS" w:hAnsi="Comic Sans MS"/>
        </w:rPr>
      </w:pPr>
      <w:r>
        <w:rPr>
          <w:rFonts w:ascii="Comic Sans MS" w:hAnsi="Comic Sans MS"/>
        </w:rPr>
        <w:t>Caractériser</w:t>
      </w:r>
      <w:r w:rsidR="00C0281B" w:rsidRPr="00C0281B">
        <w:rPr>
          <w:rFonts w:ascii="Comic Sans MS" w:hAnsi="Comic Sans MS"/>
        </w:rPr>
        <w:t xml:space="preserve"> l’onde électromagnétique. Est-elle analogue à un type d’onde rencontré dans le vide ?</w:t>
      </w:r>
    </w:p>
    <w:p w:rsidR="00C0281B" w:rsidRPr="00C0281B" w:rsidRDefault="00C0281B" w:rsidP="00C0281B">
      <w:pPr>
        <w:numPr>
          <w:ilvl w:val="0"/>
          <w:numId w:val="10"/>
        </w:numPr>
        <w:tabs>
          <w:tab w:val="left" w:pos="3080"/>
        </w:tabs>
        <w:contextualSpacing/>
        <w:rPr>
          <w:rFonts w:ascii="Comic Sans MS" w:hAnsi="Comic Sans MS"/>
        </w:rPr>
      </w:pPr>
      <w:r w:rsidRPr="00C0281B">
        <w:rPr>
          <w:rFonts w:ascii="Comic Sans MS" w:hAnsi="Comic Sans MS"/>
        </w:rPr>
        <w:t xml:space="preserve">En déduire l'expression du champ d’induction magnétique </w:t>
      </w:r>
      <m:oMath>
        <m:acc>
          <m:accPr>
            <m:chr m:val="⃗"/>
            <m:ctrlPr>
              <w:rPr>
                <w:rFonts w:ascii="Cambria Math" w:hAnsi="Comic Sans MS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d>
          <m:dPr>
            <m:ctrlPr>
              <w:rPr>
                <w:rFonts w:ascii="Cambria Math" w:hAnsi="Comic Sans MS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omic Sans MS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</m:oMath>
      <w:r w:rsidRPr="00C0281B">
        <w:rPr>
          <w:rFonts w:ascii="Comic Sans MS" w:hAnsi="Comic Sans MS"/>
        </w:rPr>
        <w:t>.</w:t>
      </w:r>
    </w:p>
    <w:p w:rsidR="00C0281B" w:rsidRPr="00C0281B" w:rsidRDefault="00C0281B" w:rsidP="00C0281B">
      <w:pPr>
        <w:numPr>
          <w:ilvl w:val="0"/>
          <w:numId w:val="10"/>
        </w:numPr>
        <w:tabs>
          <w:tab w:val="left" w:pos="3080"/>
        </w:tabs>
        <w:contextualSpacing/>
        <w:rPr>
          <w:rFonts w:ascii="Comic Sans MS" w:hAnsi="Comic Sans MS"/>
        </w:rPr>
      </w:pPr>
      <w:r w:rsidRPr="00C0281B">
        <w:rPr>
          <w:rFonts w:ascii="Comic Sans MS" w:hAnsi="Comic Sans MS"/>
        </w:rPr>
        <w:t xml:space="preserve">Puis calculer séparément les densités de charge ρ(x, t) et de courant </w:t>
      </w:r>
      <m:oMath>
        <m:acc>
          <m:accPr>
            <m:chr m:val="⃗"/>
            <m:ctrlPr>
              <w:rPr>
                <w:rFonts w:ascii="Cambria Math" w:hAnsi="Comic Sans MS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  <m:d>
          <m:dPr>
            <m:ctrlPr>
              <w:rPr>
                <w:rFonts w:ascii="Cambria Math" w:hAnsi="Comic Sans MS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omic Sans MS"/>
              </w:rPr>
              <m:t>,</m:t>
            </m:r>
            <m:r>
              <w:rPr>
                <w:rFonts w:ascii="Cambria Math" w:hAnsi="Cambria Math"/>
              </w:rPr>
              <m:t>t</m:t>
            </m:r>
          </m:e>
        </m:d>
      </m:oMath>
      <w:r w:rsidRPr="00C0281B">
        <w:rPr>
          <w:rFonts w:ascii="Comic Sans MS" w:hAnsi="Comic Sans MS"/>
        </w:rPr>
        <w:t xml:space="preserve"> et vérifier la relation qui les lie.</w:t>
      </w: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F00D58" w:rsidRPr="00F00D58" w:rsidRDefault="00F00D58" w:rsidP="00F00D58">
      <w:pPr>
        <w:tabs>
          <w:tab w:val="left" w:pos="3080"/>
        </w:tabs>
        <w:jc w:val="center"/>
        <w:rPr>
          <w:rFonts w:ascii="Comic Sans MS" w:hAnsi="Comic Sans MS"/>
          <w:b/>
          <w:color w:val="FF0000"/>
          <w:u w:val="single"/>
        </w:rPr>
      </w:pPr>
      <w:r w:rsidRPr="00F00D58">
        <w:rPr>
          <w:rFonts w:ascii="Comic Sans MS" w:hAnsi="Comic Sans MS"/>
          <w:b/>
          <w:color w:val="FF0000"/>
          <w:u w:val="single"/>
        </w:rPr>
        <w:t>Corrigé</w:t>
      </w:r>
    </w:p>
    <w:p w:rsidR="00F00D58" w:rsidRDefault="00F00D58" w:rsidP="00F00D58">
      <w:pPr>
        <w:tabs>
          <w:tab w:val="left" w:pos="3080"/>
        </w:tabs>
        <w:rPr>
          <w:rFonts w:ascii="Comic Sans MS" w:hAnsi="Comic Sans MS"/>
        </w:rPr>
      </w:pPr>
    </w:p>
    <w:p w:rsidR="00F00D58" w:rsidRPr="00F00D58" w:rsidRDefault="00F00D58" w:rsidP="00F00D58">
      <w:pPr>
        <w:tabs>
          <w:tab w:val="left" w:pos="3080"/>
        </w:tabs>
        <w:rPr>
          <w:rFonts w:ascii="Comic Sans MS" w:hAnsi="Comic Sans MS"/>
          <w:color w:val="FF0000"/>
        </w:rPr>
      </w:pPr>
      <w:r w:rsidRPr="00F00D58">
        <w:rPr>
          <w:rFonts w:ascii="Comic Sans MS" w:hAnsi="Comic Sans MS"/>
          <w:color w:val="FF0000"/>
        </w:rPr>
        <w:t xml:space="preserve">On considère une situation dans laquelle le champ électrique s'écrit : </w:t>
      </w:r>
      <m:oMath>
        <m:acc>
          <m:accPr>
            <m:chr m:val="⃗"/>
            <m:ctrlPr>
              <w:rPr>
                <w:rFonts w:ascii="Cambria Math" w:hAnsi="Comic Sans MS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</m:t>
            </m:r>
          </m:e>
        </m:acc>
        <m:d>
          <m:dPr>
            <m:ctrlPr>
              <w:rPr>
                <w:rFonts w:ascii="Cambria Math" w:hAnsi="Comic Sans MS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  <m:r>
              <w:rPr>
                <w:rFonts w:ascii="Cambria Math" w:hAnsi="Comic Sans MS"/>
                <w:color w:val="FF0000"/>
              </w:rPr>
              <m:t>,</m:t>
            </m:r>
            <m:r>
              <w:rPr>
                <w:rFonts w:ascii="Cambria Math" w:hAnsi="Cambria Math"/>
                <w:color w:val="FF0000"/>
              </w:rPr>
              <m:t>t</m:t>
            </m:r>
          </m:e>
        </m:d>
        <m:r>
          <w:rPr>
            <w:rFonts w:ascii="Cambria Math" w:hAnsi="Comic Sans MS"/>
            <w:color w:val="FF0000"/>
          </w:rPr>
          <m:t xml:space="preserve">= </m:t>
        </m:r>
        <m:sSub>
          <m:sSubPr>
            <m:ctrlPr>
              <w:rPr>
                <w:rFonts w:ascii="Cambria Math" w:hAnsi="Comic Sans MS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omic Sans MS"/>
                <w:color w:val="FF0000"/>
              </w:rPr>
              <m:t>0</m:t>
            </m:r>
          </m:sub>
        </m:sSub>
        <m:r>
          <w:rPr>
            <w:rFonts w:ascii="Cambria Math" w:hAnsi="Comic Sans MS"/>
            <w:color w:val="FF0000"/>
          </w:rPr>
          <m:t xml:space="preserve"> </m:t>
        </m:r>
        <m:r>
          <w:rPr>
            <w:rFonts w:ascii="Cambria Math" w:hAnsi="Cambria Math"/>
            <w:color w:val="FF0000"/>
          </w:rPr>
          <m:t>cos</m:t>
        </m:r>
        <m:d>
          <m:dPr>
            <m:ctrlPr>
              <w:rPr>
                <w:rFonts w:ascii="Cambria Math" w:hAnsi="Comic Sans MS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ωt</m:t>
            </m:r>
            <m:r>
              <w:rPr>
                <w:rFonts w:ascii="Cambria Math" w:hAnsi="Comic Sans MS"/>
                <w:color w:val="FF0000"/>
              </w:rPr>
              <m:t>—</m:t>
            </m:r>
            <m:r>
              <w:rPr>
                <w:rFonts w:ascii="Cambria Math" w:hAnsi="Cambria Math"/>
                <w:color w:val="FF0000"/>
              </w:rPr>
              <m:t>kx</m:t>
            </m:r>
          </m:e>
        </m:d>
        <m:r>
          <w:rPr>
            <w:rFonts w:ascii="Cambria Math" w:hAnsi="Comic Sans MS"/>
            <w:color w:val="FF0000"/>
          </w:rPr>
          <m:t xml:space="preserve"> 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</w:rPr>
            </m:ctrlPr>
          </m:accPr>
          <m:e>
            <m:r>
              <w:rPr>
                <w:rFonts w:ascii="Cambria Math" w:hAnsi="Comic Sans MS"/>
                <w:color w:val="FF0000"/>
              </w:rPr>
              <m:t xml:space="preserve"> 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x</m:t>
                </m:r>
              </m:sub>
            </m:sSub>
          </m:e>
        </m:acc>
      </m:oMath>
    </w:p>
    <w:p w:rsidR="00F00D58" w:rsidRPr="00F00D58" w:rsidRDefault="00F00D58" w:rsidP="00F00D58">
      <w:pPr>
        <w:tabs>
          <w:tab w:val="left" w:pos="3080"/>
        </w:tabs>
        <w:rPr>
          <w:rFonts w:ascii="Comic Sans MS" w:hAnsi="Comic Sans MS"/>
          <w:color w:val="FF0000"/>
        </w:rPr>
      </w:pPr>
    </w:p>
    <w:p w:rsidR="00F00D58" w:rsidRPr="003F6FBC" w:rsidRDefault="00F00D58" w:rsidP="00F00D58">
      <w:pPr>
        <w:numPr>
          <w:ilvl w:val="0"/>
          <w:numId w:val="11"/>
        </w:numPr>
        <w:tabs>
          <w:tab w:val="left" w:pos="3080"/>
        </w:tabs>
        <w:contextualSpacing/>
        <w:rPr>
          <w:rFonts w:ascii="Comic Sans MS" w:hAnsi="Comic Sans MS"/>
          <w:color w:val="FF0000"/>
        </w:rPr>
      </w:pPr>
      <w:r w:rsidRPr="00F00D58">
        <w:rPr>
          <w:rFonts w:ascii="Comic Sans MS" w:hAnsi="Comic Sans MS"/>
          <w:color w:val="FF0000"/>
        </w:rPr>
        <w:t>Il s’agit d’une plane progressive harmonique polarisée rectilignement mais, contrairement au cas usuel</w:t>
      </w:r>
      <w:r w:rsidR="00391C76">
        <w:rPr>
          <w:rFonts w:ascii="Comic Sans MS" w:hAnsi="Comic Sans MS"/>
          <w:color w:val="FF0000"/>
        </w:rPr>
        <w:t>,</w:t>
      </w:r>
      <w:bookmarkStart w:id="0" w:name="_GoBack"/>
      <w:bookmarkEnd w:id="0"/>
      <w:r w:rsidRPr="00F00D58">
        <w:rPr>
          <w:rFonts w:ascii="Comic Sans MS" w:hAnsi="Comic Sans MS"/>
          <w:color w:val="FF0000"/>
        </w:rPr>
        <w:t xml:space="preserve"> longitudinale. Il ne peut donc s’agir d’une onde plane </w:t>
      </w:r>
      <w:r w:rsidRPr="003F6FBC">
        <w:rPr>
          <w:rFonts w:ascii="Comic Sans MS" w:hAnsi="Comic Sans MS"/>
          <w:color w:val="FF0000"/>
        </w:rPr>
        <w:t xml:space="preserve">progressive (somme d’OPPH) se propageant dans le vide. En effet </w:t>
      </w:r>
      <m:oMath>
        <m:r>
          <w:rPr>
            <w:rFonts w:ascii="Cambria Math" w:hAnsi="Cambria Math"/>
            <w:color w:val="FF0000"/>
          </w:rPr>
          <m:t>div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</m:t>
            </m:r>
          </m:e>
        </m:acc>
        <m:r>
          <w:rPr>
            <w:rFonts w:ascii="Cambria Math" w:hAnsi="Cambria Math"/>
            <w:color w:val="FF0000"/>
          </w:rPr>
          <m:t>=0</m:t>
        </m:r>
      </m:oMath>
      <w:r w:rsidRPr="003F6FBC">
        <w:rPr>
          <w:rFonts w:ascii="Comic Sans MS" w:hAnsi="Comic Sans MS"/>
          <w:color w:val="FF0000"/>
        </w:rPr>
        <w:t xml:space="preserve"> appliqué à toutes les composantes imposent un champ traverse à la direction de propagation.</w:t>
      </w:r>
    </w:p>
    <w:p w:rsidR="00F00D58" w:rsidRPr="003F6FBC" w:rsidRDefault="00F00D58" w:rsidP="00F00D58">
      <w:pPr>
        <w:numPr>
          <w:ilvl w:val="0"/>
          <w:numId w:val="10"/>
        </w:numPr>
        <w:tabs>
          <w:tab w:val="left" w:pos="3080"/>
        </w:tabs>
        <w:contextualSpacing/>
        <w:rPr>
          <w:rFonts w:ascii="Comic Sans MS" w:hAnsi="Comic Sans MS"/>
          <w:color w:val="FF0000"/>
        </w:rPr>
      </w:pPr>
      <w:r w:rsidRPr="003F6FBC">
        <w:rPr>
          <w:rFonts w:ascii="Comic Sans MS" w:hAnsi="Comic Sans MS"/>
          <w:color w:val="FF0000"/>
        </w:rPr>
        <w:t>Pour obtenir le champ magnétique, on util</w:t>
      </w:r>
      <w:r w:rsidR="008C63FA">
        <w:rPr>
          <w:rFonts w:ascii="Comic Sans MS" w:hAnsi="Comic Sans MS"/>
          <w:color w:val="FF0000"/>
        </w:rPr>
        <w:t xml:space="preserve">ise l’équation de </w:t>
      </w:r>
      <w:proofErr w:type="spellStart"/>
      <w:r w:rsidR="008C63FA">
        <w:rPr>
          <w:rFonts w:ascii="Comic Sans MS" w:hAnsi="Comic Sans MS"/>
          <w:color w:val="FF0000"/>
        </w:rPr>
        <w:t>Mawxell</w:t>
      </w:r>
      <w:proofErr w:type="spellEnd"/>
      <w:r w:rsidR="008C63FA">
        <w:rPr>
          <w:rFonts w:ascii="Comic Sans MS" w:hAnsi="Comic Sans MS"/>
          <w:color w:val="FF0000"/>
        </w:rPr>
        <w:t>-Faraday</w:t>
      </w:r>
      <w:r w:rsidRPr="003F6FBC">
        <w:rPr>
          <w:rFonts w:ascii="Comic Sans MS" w:hAnsi="Comic Sans MS"/>
          <w:color w:val="FF0000"/>
        </w:rPr>
        <w:t xml:space="preserve"> qui impose un c</w:t>
      </w:r>
      <w:r w:rsidR="008C63FA">
        <w:rPr>
          <w:rFonts w:ascii="Comic Sans MS" w:hAnsi="Comic Sans MS"/>
          <w:color w:val="FF0000"/>
        </w:rPr>
        <w:t>hamp magnétique</w:t>
      </w:r>
      <w:r w:rsidRPr="003F6FBC">
        <w:rPr>
          <w:rFonts w:ascii="Comic Sans MS" w:hAnsi="Comic Sans MS"/>
          <w:color w:val="FF0000"/>
        </w:rPr>
        <w:t xml:space="preserve"> </w:t>
      </w:r>
      <w:r w:rsidR="008C63FA">
        <w:rPr>
          <w:rFonts w:ascii="Comic Sans MS" w:hAnsi="Comic Sans MS"/>
          <w:color w:val="FF0000"/>
        </w:rPr>
        <w:t>nul</w:t>
      </w:r>
      <w:r w:rsidRPr="003F6FBC">
        <w:rPr>
          <w:rFonts w:ascii="Comic Sans MS" w:hAnsi="Comic Sans MS"/>
          <w:color w:val="FF0000"/>
        </w:rPr>
        <w:t>.</w:t>
      </w:r>
    </w:p>
    <w:p w:rsidR="00F00D58" w:rsidRPr="003F6FBC" w:rsidRDefault="00F00D58" w:rsidP="00F00D58">
      <w:pPr>
        <w:numPr>
          <w:ilvl w:val="0"/>
          <w:numId w:val="10"/>
        </w:numPr>
        <w:tabs>
          <w:tab w:val="left" w:pos="3080"/>
        </w:tabs>
        <w:contextualSpacing/>
        <w:rPr>
          <w:rFonts w:ascii="Comic Sans MS" w:hAnsi="Comic Sans MS"/>
          <w:color w:val="FF0000"/>
        </w:rPr>
      </w:pPr>
      <w:r w:rsidRPr="003F6FBC">
        <w:rPr>
          <w:rFonts w:ascii="Comic Sans MS" w:hAnsi="Comic Sans MS"/>
          <w:color w:val="FF0000"/>
        </w:rPr>
        <w:t xml:space="preserve">Avec Maxwell-Gauss, </w:t>
      </w:r>
      <m:oMath>
        <m:r>
          <w:rPr>
            <w:rFonts w:ascii="Cambria Math" w:hAnsi="Cambria Math"/>
            <w:color w:val="FF0000"/>
          </w:rPr>
          <m:t>div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</m:t>
            </m:r>
          </m:e>
        </m:acc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</w:rPr>
              <m:t>∂x</m:t>
            </m:r>
          </m:den>
        </m:f>
        <m:r>
          <w:rPr>
            <w:rFonts w:ascii="Cambria Math" w:hAnsi="Cambria Math"/>
            <w:color w:val="FF0000"/>
          </w:rPr>
          <m:t>=+k</m:t>
        </m:r>
        <m:sSub>
          <m:sSubPr>
            <m:ctrlPr>
              <w:rPr>
                <w:rFonts w:ascii="Cambria Math" w:hAnsi="Comic Sans MS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omic Sans MS"/>
                <w:color w:val="FF0000"/>
              </w:rPr>
              <m:t>0</m:t>
            </m:r>
          </m:sub>
        </m:sSub>
        <m:r>
          <w:rPr>
            <w:rFonts w:ascii="Cambria Math" w:hAnsi="Comic Sans MS"/>
            <w:color w:val="FF0000"/>
          </w:rPr>
          <m:t xml:space="preserve"> </m:t>
        </m:r>
        <m:r>
          <w:rPr>
            <w:rFonts w:ascii="Cambria Math" w:hAnsi="Cambria Math"/>
            <w:color w:val="FF0000"/>
          </w:rPr>
          <m:t>cos</m:t>
        </m:r>
        <m:d>
          <m:dPr>
            <m:ctrlPr>
              <w:rPr>
                <w:rFonts w:ascii="Cambria Math" w:hAnsi="Comic Sans MS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ωt</m:t>
            </m:r>
            <m:r>
              <w:rPr>
                <w:rFonts w:ascii="Cambria Math" w:hAnsi="Comic Sans MS"/>
                <w:color w:val="FF0000"/>
              </w:rPr>
              <m:t>—</m:t>
            </m:r>
            <m:r>
              <w:rPr>
                <w:rFonts w:ascii="Cambria Math" w:hAnsi="Cambria Math"/>
                <w:color w:val="FF0000"/>
              </w:rPr>
              <m:t>kx</m:t>
            </m:r>
          </m:e>
        </m:d>
        <m:r>
          <w:rPr>
            <w:rFonts w:ascii="Cambria Math" w:hAnsi="Comic Sans MS"/>
            <w:color w:val="FF000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ρ</m:t>
            </m:r>
          </m:num>
          <m:den>
            <m:sSub>
              <m:sSubPr>
                <m:ctrlPr>
                  <w:rPr>
                    <w:rFonts w:ascii="Cambria Math" w:hAnsi="Comic Sans MS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</w:rPr>
                  <m:t>0</m:t>
                </m:r>
              </m:sub>
            </m:sSub>
          </m:den>
        </m:f>
      </m:oMath>
      <w:r w:rsidRPr="003F6FBC">
        <w:rPr>
          <w:rFonts w:ascii="Comic Sans MS" w:hAnsi="Comic Sans MS"/>
          <w:color w:val="FF0000"/>
        </w:rPr>
        <w:t xml:space="preserve"> donc </w:t>
      </w:r>
      <m:oMath>
        <m:r>
          <w:rPr>
            <w:rFonts w:ascii="Cambria Math" w:hAnsi="Cambria Math"/>
            <w:color w:val="FF0000"/>
          </w:rPr>
          <m:t>ρ=k</m:t>
        </m:r>
        <m:sSub>
          <m:sSubPr>
            <m:ctrlPr>
              <w:rPr>
                <w:rFonts w:ascii="Cambria Math" w:hAnsi="Comic Sans MS"/>
                <w:i/>
                <w:color w:val="FF0000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ε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omic Sans MS"/>
                <w:color w:val="FF0000"/>
              </w:rPr>
              <m:t>0</m:t>
            </m:r>
          </m:sub>
        </m:sSub>
        <m:r>
          <w:rPr>
            <w:rFonts w:ascii="Cambria Math" w:hAnsi="Comic Sans MS"/>
            <w:color w:val="FF0000"/>
          </w:rPr>
          <m:t xml:space="preserve"> </m:t>
        </m:r>
        <m:r>
          <w:rPr>
            <w:rFonts w:ascii="Cambria Math" w:hAnsi="Cambria Math"/>
            <w:color w:val="FF0000"/>
          </w:rPr>
          <m:t>cos</m:t>
        </m:r>
        <m:d>
          <m:dPr>
            <m:ctrlPr>
              <w:rPr>
                <w:rFonts w:ascii="Cambria Math" w:hAnsi="Comic Sans MS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ωt</m:t>
            </m:r>
            <m:r>
              <w:rPr>
                <w:rFonts w:ascii="Cambria Math" w:hAnsi="Comic Sans MS"/>
                <w:color w:val="FF0000"/>
              </w:rPr>
              <m:t>—</m:t>
            </m:r>
            <m:r>
              <w:rPr>
                <w:rFonts w:ascii="Cambria Math" w:hAnsi="Cambria Math"/>
                <w:color w:val="FF0000"/>
              </w:rPr>
              <m:t>kx</m:t>
            </m:r>
          </m:e>
        </m:d>
      </m:oMath>
      <w:r w:rsidRPr="003F6FBC">
        <w:rPr>
          <w:rFonts w:ascii="Comic Sans MS" w:hAnsi="Comic Sans MS"/>
          <w:color w:val="FF0000"/>
        </w:rPr>
        <w:t xml:space="preserve">. On trouve le vecteur densité de courant volumique avec Maxwell-Ampère :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rot</m:t>
            </m:r>
          </m:e>
        </m:acc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B</m:t>
            </m:r>
          </m:e>
        </m:acc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µ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j</m:t>
            </m:r>
          </m:e>
        </m:acc>
        <m:r>
          <w:rPr>
            <w:rFonts w:ascii="Cambria Math" w:hAnsi="Cambria Math"/>
            <w:color w:val="FF0000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µ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ε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∂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acc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</m:acc>
          </m:num>
          <m:den>
            <m:r>
              <w:rPr>
                <w:rFonts w:ascii="Cambria Math" w:hAnsi="Cambria Math"/>
                <w:color w:val="FF0000"/>
              </w:rPr>
              <m:t>∂t</m:t>
            </m:r>
          </m:den>
        </m:f>
        <m:r>
          <w:rPr>
            <w:rFonts w:ascii="Cambria Math" w:hAnsi="Cambria Math"/>
            <w:color w:val="FF0000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0</m:t>
            </m:r>
          </m:e>
        </m:acc>
      </m:oMath>
      <w:r w:rsidR="003F6FBC" w:rsidRPr="003F6FBC">
        <w:rPr>
          <w:rFonts w:ascii="Comic Sans MS" w:hAnsi="Comic Sans MS"/>
          <w:color w:val="FF0000"/>
        </w:rPr>
        <w:t xml:space="preserve"> soit :</w:t>
      </w:r>
      <m:oMath>
        <m:r>
          <w:rPr>
            <w:rFonts w:ascii="Cambria Math" w:hAnsi="Cambria Math"/>
            <w:color w:val="FF0000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j</m:t>
            </m:r>
          </m:e>
        </m:acc>
        <m:r>
          <w:rPr>
            <w:rFonts w:ascii="Cambria Math" w:hAnsi="Cambria Math"/>
            <w:color w:val="FF0000"/>
          </w:rPr>
          <m:t>=-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ε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∂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acc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</m:acc>
          </m:num>
          <m:den>
            <m:r>
              <w:rPr>
                <w:rFonts w:ascii="Cambria Math" w:hAnsi="Cambria Math"/>
                <w:color w:val="FF0000"/>
              </w:rPr>
              <m:t>∂t</m:t>
            </m:r>
          </m:den>
        </m:f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ε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>ω</m:t>
        </m:r>
        <m:sSub>
          <m:sSubPr>
            <m:ctrlPr>
              <w:rPr>
                <w:rFonts w:ascii="Cambria Math" w:hAnsi="Comic Sans MS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omic Sans MS"/>
                <w:color w:val="FF0000"/>
              </w:rPr>
              <m:t>0</m:t>
            </m:r>
          </m:sub>
        </m:sSub>
        <m:r>
          <w:rPr>
            <w:rFonts w:ascii="Cambria Math" w:hAnsi="Comic Sans MS"/>
            <w:color w:val="FF0000"/>
          </w:rPr>
          <m:t xml:space="preserve"> </m:t>
        </m:r>
        <m:r>
          <w:rPr>
            <w:rFonts w:ascii="Cambria Math" w:hAnsi="Cambria Math"/>
            <w:color w:val="FF0000"/>
          </w:rPr>
          <m:t>cos</m:t>
        </m:r>
        <m:d>
          <m:dPr>
            <m:ctrlPr>
              <w:rPr>
                <w:rFonts w:ascii="Cambria Math" w:hAnsi="Comic Sans MS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ωt</m:t>
            </m:r>
            <m:r>
              <w:rPr>
                <w:rFonts w:ascii="Cambria Math" w:hAnsi="Comic Sans MS"/>
                <w:color w:val="FF0000"/>
              </w:rPr>
              <m:t>—</m:t>
            </m:r>
            <m:r>
              <w:rPr>
                <w:rFonts w:ascii="Cambria Math" w:hAnsi="Cambria Math"/>
                <w:color w:val="FF0000"/>
              </w:rPr>
              <m:t>kx</m:t>
            </m:r>
          </m:e>
        </m:d>
      </m:oMath>
    </w:p>
    <w:p w:rsidR="003F6FBC" w:rsidRPr="003F6FBC" w:rsidRDefault="003F6FBC" w:rsidP="003F6FBC">
      <w:pPr>
        <w:tabs>
          <w:tab w:val="clear" w:pos="851"/>
          <w:tab w:val="left" w:pos="3080"/>
        </w:tabs>
        <w:ind w:left="851"/>
        <w:contextualSpacing/>
        <w:rPr>
          <w:rFonts w:ascii="Comic Sans MS" w:hAnsi="Comic Sans MS"/>
          <w:color w:val="FF0000"/>
        </w:rPr>
      </w:pPr>
      <w:r w:rsidRPr="003F6FBC">
        <w:rPr>
          <w:rFonts w:ascii="Comic Sans MS" w:hAnsi="Comic Sans MS"/>
          <w:color w:val="FF0000"/>
        </w:rPr>
        <w:t>Ces deux sources doivent vér</w:t>
      </w:r>
      <w:r w:rsidR="008C63FA">
        <w:rPr>
          <w:rFonts w:ascii="Comic Sans MS" w:hAnsi="Comic Sans MS"/>
          <w:color w:val="FF0000"/>
        </w:rPr>
        <w:t>i</w:t>
      </w:r>
      <w:r w:rsidRPr="003F6FBC">
        <w:rPr>
          <w:rFonts w:ascii="Comic Sans MS" w:hAnsi="Comic Sans MS"/>
          <w:color w:val="FF0000"/>
        </w:rPr>
        <w:t>fier l’équation de conservation de la charge :</w:t>
      </w:r>
    </w:p>
    <w:p w:rsidR="003F6FBC" w:rsidRPr="003F6FBC" w:rsidRDefault="00DB781D" w:rsidP="003F6FBC">
      <w:pPr>
        <w:tabs>
          <w:tab w:val="clear" w:pos="851"/>
          <w:tab w:val="left" w:pos="3080"/>
        </w:tabs>
        <w:ind w:left="851"/>
        <w:contextualSpacing/>
        <w:rPr>
          <w:rFonts w:ascii="Comic Sans MS" w:hAnsi="Comic Sans MS"/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∂ρ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∂t</m:t>
              </m:r>
            </m:den>
          </m:f>
          <m:r>
            <w:rPr>
              <w:rFonts w:ascii="Cambria Math" w:hAnsi="Cambria Math"/>
              <w:color w:val="FF0000"/>
            </w:rPr>
            <m:t>+div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/>
                  <w:color w:val="FF0000"/>
                </w:rPr>
                <m:t>j</m:t>
              </m:r>
            </m:e>
          </m:acc>
          <m:r>
            <w:rPr>
              <w:rFonts w:ascii="Cambria Math" w:hAnsi="Cambria Math"/>
              <w:color w:val="FF0000"/>
            </w:rPr>
            <m:t>=-k</m:t>
          </m:r>
          <m:sSub>
            <m:sSubPr>
              <m:ctrlPr>
                <w:rPr>
                  <w:rFonts w:ascii="Cambria Math" w:hAnsi="Comic Sans MS"/>
                  <w:i/>
                  <w:color w:val="FF000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omic Sans MS"/>
                  <w:color w:val="FF0000"/>
                </w:rPr>
                <m:t>0</m:t>
              </m:r>
            </m:sub>
          </m:sSub>
          <m:r>
            <w:rPr>
              <w:rFonts w:ascii="Cambria Math" w:hAnsi="Comic Sans MS"/>
              <w:color w:val="FF0000"/>
            </w:rPr>
            <m:t xml:space="preserve"> </m:t>
          </m:r>
          <m:r>
            <w:rPr>
              <w:rFonts w:ascii="Cambria Math" w:hAnsi="Cambria Math"/>
              <w:color w:val="FF0000"/>
            </w:rPr>
            <m:t>ωsin</m:t>
          </m:r>
          <m:d>
            <m:dPr>
              <m:ctrlPr>
                <w:rPr>
                  <w:rFonts w:ascii="Cambria Math" w:hAnsi="Comic Sans MS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ωt</m:t>
              </m:r>
              <m:r>
                <w:rPr>
                  <w:rFonts w:ascii="Cambria Math" w:hAnsi="Comic Sans MS"/>
                  <w:color w:val="FF0000"/>
                </w:rPr>
                <m:t>—</m:t>
              </m:r>
              <m:r>
                <w:rPr>
                  <w:rFonts w:ascii="Cambria Math" w:hAnsi="Cambria Math"/>
                  <w:color w:val="FF0000"/>
                </w:rPr>
                <m:t>kx</m:t>
              </m:r>
            </m:e>
          </m:d>
          <m:r>
            <w:rPr>
              <w:rFonts w:ascii="Cambria Math" w:hAnsi="Comic Sans MS"/>
              <w:color w:val="FF0000"/>
            </w:rPr>
            <m:t>+k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ε</m:t>
              </m:r>
            </m:e>
            <m:sub>
              <m: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hAnsi="Cambria Math"/>
              <w:color w:val="FF0000"/>
            </w:rPr>
            <m:t>ω</m:t>
          </m:r>
          <m:sSub>
            <m:sSubPr>
              <m:ctrlPr>
                <w:rPr>
                  <w:rFonts w:ascii="Cambria Math" w:hAnsi="Comic Sans MS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omic Sans MS"/>
                  <w:color w:val="FF0000"/>
                </w:rPr>
                <m:t>0</m:t>
              </m:r>
            </m:sub>
          </m:sSub>
          <m:r>
            <w:rPr>
              <w:rFonts w:ascii="Cambria Math" w:hAnsi="Comic Sans MS"/>
              <w:color w:val="FF0000"/>
            </w:rPr>
            <m:t xml:space="preserve"> </m:t>
          </m:r>
          <m:r>
            <w:rPr>
              <w:rFonts w:ascii="Cambria Math" w:hAnsi="Cambria Math"/>
              <w:color w:val="FF0000"/>
            </w:rPr>
            <m:t>sin</m:t>
          </m:r>
          <m:d>
            <m:dPr>
              <m:ctrlPr>
                <w:rPr>
                  <w:rFonts w:ascii="Cambria Math" w:hAnsi="Comic Sans MS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ωt</m:t>
              </m:r>
              <m:r>
                <w:rPr>
                  <w:rFonts w:ascii="Cambria Math" w:hAnsi="Comic Sans MS"/>
                  <w:color w:val="FF0000"/>
                </w:rPr>
                <m:t>—</m:t>
              </m:r>
              <m:r>
                <w:rPr>
                  <w:rFonts w:ascii="Cambria Math" w:hAnsi="Cambria Math"/>
                  <w:color w:val="FF0000"/>
                </w:rPr>
                <m:t>kx</m:t>
              </m:r>
            </m:e>
          </m:d>
          <m:r>
            <w:rPr>
              <w:rFonts w:ascii="Cambria Math" w:hAnsi="Comic Sans MS"/>
              <w:color w:val="FF0000"/>
            </w:rPr>
            <m:t>=0</m:t>
          </m:r>
        </m:oMath>
      </m:oMathPara>
    </w:p>
    <w:p w:rsidR="00F00D58" w:rsidRDefault="00F00D58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8B4D0D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81D" w:rsidRDefault="00DB781D" w:rsidP="0084431B">
      <w:r>
        <w:separator/>
      </w:r>
    </w:p>
  </w:endnote>
  <w:endnote w:type="continuationSeparator" w:id="0">
    <w:p w:rsidR="00DB781D" w:rsidRDefault="00DB781D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81D" w:rsidRDefault="00DB781D" w:rsidP="0084431B">
      <w:r>
        <w:separator/>
      </w:r>
    </w:p>
  </w:footnote>
  <w:footnote w:type="continuationSeparator" w:id="0">
    <w:p w:rsidR="00DB781D" w:rsidRDefault="00DB781D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DB781D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F00D5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Planche15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F00D58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C556C"/>
    <w:multiLevelType w:val="multilevel"/>
    <w:tmpl w:val="46AE08FC"/>
    <w:numStyleLink w:val="StyleHirarchisation"/>
  </w:abstractNum>
  <w:abstractNum w:abstractNumId="7" w15:restartNumberingAfterBreak="0">
    <w:nsid w:val="6CFE1313"/>
    <w:multiLevelType w:val="multilevel"/>
    <w:tmpl w:val="46AE08FC"/>
    <w:numStyleLink w:val="StyleHirarchisation"/>
  </w:abstractNum>
  <w:abstractNum w:abstractNumId="8" w15:restartNumberingAfterBreak="0">
    <w:nsid w:val="6D911115"/>
    <w:multiLevelType w:val="multilevel"/>
    <w:tmpl w:val="46AE08FC"/>
    <w:numStyleLink w:val="StyleHirarchisation"/>
  </w:abstractNum>
  <w:abstractNum w:abstractNumId="9" w15:restartNumberingAfterBreak="0">
    <w:nsid w:val="772D3D9D"/>
    <w:multiLevelType w:val="multilevel"/>
    <w:tmpl w:val="46AE08FC"/>
    <w:numStyleLink w:val="StyleHirarchisation"/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830F7"/>
    <w:rsid w:val="00083792"/>
    <w:rsid w:val="00101421"/>
    <w:rsid w:val="00121195"/>
    <w:rsid w:val="00174E8B"/>
    <w:rsid w:val="001801D9"/>
    <w:rsid w:val="001B4CB7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91C76"/>
    <w:rsid w:val="003C1079"/>
    <w:rsid w:val="003F6FBC"/>
    <w:rsid w:val="00422AED"/>
    <w:rsid w:val="00465B14"/>
    <w:rsid w:val="004F3CBD"/>
    <w:rsid w:val="0051083A"/>
    <w:rsid w:val="00542EBF"/>
    <w:rsid w:val="00566ABD"/>
    <w:rsid w:val="00583013"/>
    <w:rsid w:val="005B1568"/>
    <w:rsid w:val="005D4DAD"/>
    <w:rsid w:val="005E13E1"/>
    <w:rsid w:val="005E308E"/>
    <w:rsid w:val="005F228F"/>
    <w:rsid w:val="006258B2"/>
    <w:rsid w:val="00657514"/>
    <w:rsid w:val="006A154C"/>
    <w:rsid w:val="006D49D9"/>
    <w:rsid w:val="007051F3"/>
    <w:rsid w:val="00727BA7"/>
    <w:rsid w:val="00777D37"/>
    <w:rsid w:val="007F104B"/>
    <w:rsid w:val="0081167A"/>
    <w:rsid w:val="008304D9"/>
    <w:rsid w:val="0084431B"/>
    <w:rsid w:val="00854820"/>
    <w:rsid w:val="00861E05"/>
    <w:rsid w:val="008A7CD9"/>
    <w:rsid w:val="008B4D0D"/>
    <w:rsid w:val="008C63FA"/>
    <w:rsid w:val="008D33DF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7281C"/>
    <w:rsid w:val="00A83F8F"/>
    <w:rsid w:val="00A84030"/>
    <w:rsid w:val="00A85A8B"/>
    <w:rsid w:val="00A945FD"/>
    <w:rsid w:val="00AA3231"/>
    <w:rsid w:val="00AE4345"/>
    <w:rsid w:val="00AE4889"/>
    <w:rsid w:val="00B06879"/>
    <w:rsid w:val="00B72389"/>
    <w:rsid w:val="00B83FE9"/>
    <w:rsid w:val="00BC50AF"/>
    <w:rsid w:val="00BF2E85"/>
    <w:rsid w:val="00BF3E5D"/>
    <w:rsid w:val="00C0281B"/>
    <w:rsid w:val="00C275FF"/>
    <w:rsid w:val="00C866CE"/>
    <w:rsid w:val="00CB52D2"/>
    <w:rsid w:val="00CC6C63"/>
    <w:rsid w:val="00CD3319"/>
    <w:rsid w:val="00CE2AFE"/>
    <w:rsid w:val="00CF2888"/>
    <w:rsid w:val="00D76AC7"/>
    <w:rsid w:val="00D82716"/>
    <w:rsid w:val="00DA79A7"/>
    <w:rsid w:val="00DB781D"/>
    <w:rsid w:val="00E06580"/>
    <w:rsid w:val="00E93805"/>
    <w:rsid w:val="00E96F8D"/>
    <w:rsid w:val="00ED709D"/>
    <w:rsid w:val="00EF6E3F"/>
    <w:rsid w:val="00F00D58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A78798F"/>
  <w15:docId w15:val="{C35A5EB1-48E4-4C03-99C8-9FA8C375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0433"/>
    <w:rsid w:val="002F4EC8"/>
    <w:rsid w:val="0037372A"/>
    <w:rsid w:val="0049172B"/>
    <w:rsid w:val="005D53C4"/>
    <w:rsid w:val="006E7EBB"/>
    <w:rsid w:val="0089730A"/>
    <w:rsid w:val="009A3CED"/>
    <w:rsid w:val="009A4D5D"/>
    <w:rsid w:val="00AA759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9A3C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Planche15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15</vt:lpstr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15</dc:title>
  <dc:subject/>
  <dc:creator>Alexis</dc:creator>
  <cp:keywords/>
  <dc:description/>
  <cp:lastModifiedBy>Alexis Meret</cp:lastModifiedBy>
  <cp:revision>14</cp:revision>
  <dcterms:created xsi:type="dcterms:W3CDTF">2016-04-14T14:30:00Z</dcterms:created>
  <dcterms:modified xsi:type="dcterms:W3CDTF">2018-06-14T14:50:00Z</dcterms:modified>
</cp:coreProperties>
</file>