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580" w:rsidRDefault="00E06580" w:rsidP="00E06580"/>
    <w:p w:rsidR="00D7201F" w:rsidRPr="00D7201F" w:rsidRDefault="00D7201F" w:rsidP="00D7201F">
      <w:pPr>
        <w:jc w:val="center"/>
        <w:rPr>
          <w:rFonts w:ascii="Comic Sans MS" w:hAnsi="Comic Sans MS"/>
          <w:b/>
          <w:color w:val="FF0000"/>
          <w:u w:val="single"/>
        </w:rPr>
      </w:pPr>
      <w:r w:rsidRPr="00D7201F">
        <w:rPr>
          <w:rFonts w:ascii="Comic Sans MS" w:hAnsi="Comic Sans MS"/>
          <w:b/>
          <w:color w:val="FF0000"/>
          <w:u w:val="single"/>
        </w:rPr>
        <w:t>Electromagnétisme</w:t>
      </w:r>
    </w:p>
    <w:p w:rsidR="00D7201F" w:rsidRDefault="00D7201F" w:rsidP="006258B2">
      <w:pPr>
        <w:rPr>
          <w:rFonts w:ascii="Comic Sans MS" w:hAnsi="Comic Sans MS"/>
          <w:szCs w:val="20"/>
        </w:rPr>
      </w:pPr>
    </w:p>
    <w:p w:rsidR="006258B2" w:rsidRPr="006258B2" w:rsidRDefault="006258B2" w:rsidP="006258B2">
      <w:pPr>
        <w:rPr>
          <w:rFonts w:ascii="Comic Sans MS" w:hAnsi="Comic Sans MS"/>
          <w:szCs w:val="20"/>
        </w:rPr>
      </w:pPr>
      <w:r w:rsidRPr="006258B2">
        <w:rPr>
          <w:rFonts w:ascii="Comic Sans MS" w:hAnsi="Comic Sans MS"/>
          <w:szCs w:val="20"/>
        </w:rPr>
        <w:t xml:space="preserve">On considère un solénoïde long de rayon a, d’axe Oz, à l’intérieur duquel règne un champ </w:t>
      </w:r>
      <m:oMath>
        <m:acc>
          <m:accPr>
            <m:chr m:val="⃗"/>
            <m:ctrlPr>
              <w:rPr>
                <w:rFonts w:ascii="Cambria Math" w:hAnsi="Comic Sans MS"/>
                <w:i/>
                <w:szCs w:val="20"/>
              </w:rPr>
            </m:ctrlPr>
          </m:accPr>
          <m:e>
            <m:r>
              <w:rPr>
                <w:rFonts w:ascii="Cambria Math" w:hAnsi="Cambria Math"/>
                <w:szCs w:val="20"/>
              </w:rPr>
              <m:t>B</m:t>
            </m:r>
          </m:e>
        </m:acc>
        <m:r>
          <w:rPr>
            <w:rFonts w:ascii="Cambria Math" w:hAnsi="Comic Sans MS"/>
            <w:szCs w:val="20"/>
          </w:rPr>
          <m:t>=</m:t>
        </m:r>
        <m:sSub>
          <m:sSubPr>
            <m:ctrlPr>
              <w:rPr>
                <w:rFonts w:ascii="Cambria Math" w:hAnsi="Comic Sans MS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B</m:t>
            </m:r>
          </m:e>
          <m:sub>
            <m:r>
              <w:rPr>
                <w:rFonts w:ascii="Cambria Math" w:hAnsi="Comic Sans MS"/>
                <w:szCs w:val="20"/>
              </w:rPr>
              <m:t>0</m:t>
            </m:r>
          </m:sub>
        </m:sSub>
        <m:r>
          <m:rPr>
            <m:sty m:val="p"/>
          </m:rPr>
          <w:rPr>
            <w:rFonts w:ascii="Cambria Math" w:hAnsi="Comic Sans MS"/>
            <w:szCs w:val="20"/>
          </w:rPr>
          <m:t>exp</m:t>
        </m:r>
        <m:r>
          <m:rPr>
            <m:sty m:val="p"/>
          </m:rPr>
          <w:rPr>
            <w:rFonts w:ascii="Cambria Math" w:hAnsi="Cambria Math"/>
            <w:szCs w:val="20"/>
          </w:rPr>
          <m:t>⁡</m:t>
        </m:r>
        <m:r>
          <w:rPr>
            <w:rFonts w:ascii="Cambria Math" w:hAnsi="Comic Sans MS"/>
            <w:szCs w:val="20"/>
          </w:rPr>
          <m:t>(</m:t>
        </m:r>
        <m:r>
          <w:rPr>
            <w:rFonts w:ascii="Cambria Math" w:hAnsi="Comic Sans MS"/>
            <w:szCs w:val="20"/>
          </w:rPr>
          <m:t>-</m:t>
        </m:r>
        <m:f>
          <m:fPr>
            <m:ctrlPr>
              <w:rPr>
                <w:rFonts w:ascii="Cambria Math" w:hAnsi="Comic Sans MS"/>
                <w:i/>
                <w:szCs w:val="20"/>
              </w:rPr>
            </m:ctrlPr>
          </m:fPr>
          <m:num>
            <m:r>
              <w:rPr>
                <w:rFonts w:ascii="Cambria Math" w:hAnsi="Cambria Math"/>
                <w:szCs w:val="20"/>
              </w:rPr>
              <m:t>t</m:t>
            </m:r>
          </m:num>
          <m:den>
            <m:r>
              <w:rPr>
                <w:rFonts w:ascii="Cambria Math" w:hAnsi="Cambria Math"/>
                <w:szCs w:val="20"/>
              </w:rPr>
              <m:t>τ</m:t>
            </m:r>
          </m:den>
        </m:f>
        <m:r>
          <w:rPr>
            <w:rFonts w:ascii="Cambria Math" w:hAnsi="Comic Sans MS"/>
            <w:szCs w:val="20"/>
          </w:rPr>
          <m:t>)</m:t>
        </m:r>
        <m:acc>
          <m:accPr>
            <m:chr m:val="⃗"/>
            <m:ctrlPr>
              <w:rPr>
                <w:rFonts w:ascii="Cambria Math" w:hAnsi="Comic Sans MS"/>
                <w:i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z</m:t>
                </m:r>
              </m:sub>
            </m:sSub>
          </m:e>
        </m:acc>
      </m:oMath>
      <w:r w:rsidRPr="006258B2">
        <w:rPr>
          <w:rFonts w:ascii="Comic Sans MS" w:hAnsi="Comic Sans MS"/>
          <w:szCs w:val="20"/>
        </w:rPr>
        <w:t>; on s’intéresse à un morceau du solénoïde de longueur ℓ.</w:t>
      </w:r>
    </w:p>
    <w:p w:rsidR="006258B2" w:rsidRPr="006258B2" w:rsidRDefault="006258B2" w:rsidP="006258B2">
      <w:pPr>
        <w:pStyle w:val="Paragraphedeliste"/>
        <w:widowControl/>
        <w:numPr>
          <w:ilvl w:val="0"/>
          <w:numId w:val="8"/>
        </w:numPr>
        <w:spacing w:after="200"/>
        <w:ind w:right="0"/>
        <w:rPr>
          <w:rFonts w:ascii="Comic Sans MS" w:hAnsi="Comic Sans MS"/>
          <w:sz w:val="20"/>
        </w:rPr>
      </w:pPr>
      <w:r w:rsidRPr="006258B2">
        <w:rPr>
          <w:rFonts w:ascii="Comic Sans MS" w:hAnsi="Comic Sans MS"/>
          <w:sz w:val="20"/>
        </w:rPr>
        <w:t xml:space="preserve">A l’aide de la formulation intégrale des équations de Maxwell, trouver </w:t>
      </w:r>
      <m:oMath>
        <m:acc>
          <m:accPr>
            <m:chr m:val="⃗"/>
            <m:ctrlPr>
              <w:rPr>
                <w:rFonts w:ascii="Cambria Math" w:hAnsi="Comic Sans MS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</m:oMath>
      <w:r w:rsidRPr="006258B2">
        <w:rPr>
          <w:rFonts w:ascii="Comic Sans MS" w:hAnsi="Comic Sans MS"/>
          <w:sz w:val="20"/>
        </w:rPr>
        <w:t xml:space="preserve"> sous la forme </w:t>
      </w:r>
      <m:oMath>
        <m:acc>
          <m:accPr>
            <m:chr m:val="⃗"/>
            <m:ctrlPr>
              <w:rPr>
                <w:rFonts w:ascii="Cambria Math" w:hAnsi="Comic Sans MS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  <m:r>
          <w:rPr>
            <w:rFonts w:ascii="Cambria Math" w:hAnsi="Comic Sans MS"/>
            <w:sz w:val="20"/>
          </w:rPr>
          <m:t>=</m:t>
        </m:r>
        <m:r>
          <w:rPr>
            <w:rFonts w:ascii="Cambria Math" w:hAnsi="Cambria Math"/>
            <w:sz w:val="20"/>
          </w:rPr>
          <m:t>E</m:t>
        </m:r>
        <m:r>
          <w:rPr>
            <w:rFonts w:ascii="Cambria Math" w:hAnsi="Comic Sans MS"/>
            <w:sz w:val="20"/>
          </w:rPr>
          <m:t>(</m:t>
        </m:r>
        <m:r>
          <w:rPr>
            <w:rFonts w:ascii="Cambria Math" w:hAnsi="Cambria Math"/>
            <w:sz w:val="20"/>
          </w:rPr>
          <m:t>r</m:t>
        </m:r>
        <m:r>
          <w:rPr>
            <w:rFonts w:ascii="Cambria Math" w:hAnsi="Comic Sans MS"/>
            <w:sz w:val="20"/>
          </w:rPr>
          <m:t>,</m:t>
        </m:r>
        <m:r>
          <w:rPr>
            <w:rFonts w:ascii="Cambria Math" w:hAnsi="Cambria Math"/>
            <w:sz w:val="20"/>
          </w:rPr>
          <m:t>t</m:t>
        </m:r>
        <m:r>
          <w:rPr>
            <w:rFonts w:ascii="Cambria Math" w:hAnsi="Comic Sans MS"/>
            <w:sz w:val="20"/>
          </w:rPr>
          <m:t>)</m:t>
        </m:r>
        <m:acc>
          <m:accPr>
            <m:chr m:val="⃗"/>
            <m:ctrlPr>
              <w:rPr>
                <w:rFonts w:ascii="Cambria Math" w:hAnsi="Comic Sans MS"/>
                <w:i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ϴ</m:t>
                </m:r>
              </m:sub>
            </m:sSub>
          </m:e>
        </m:acc>
      </m:oMath>
      <w:r w:rsidRPr="006258B2">
        <w:rPr>
          <w:rFonts w:ascii="Comic Sans MS" w:hAnsi="Comic Sans MS"/>
          <w:sz w:val="20"/>
        </w:rPr>
        <w:t xml:space="preserve">. Discuter. </w:t>
      </w:r>
    </w:p>
    <w:p w:rsidR="006258B2" w:rsidRPr="006258B2" w:rsidRDefault="006258B2" w:rsidP="006258B2">
      <w:pPr>
        <w:pStyle w:val="Paragraphedeliste"/>
        <w:widowControl/>
        <w:numPr>
          <w:ilvl w:val="0"/>
          <w:numId w:val="8"/>
        </w:numPr>
        <w:spacing w:after="200"/>
        <w:ind w:right="0"/>
        <w:rPr>
          <w:rFonts w:ascii="Comic Sans MS" w:hAnsi="Comic Sans MS"/>
          <w:sz w:val="20"/>
        </w:rPr>
      </w:pPr>
      <w:r w:rsidRPr="006258B2">
        <w:rPr>
          <w:rFonts w:ascii="Comic Sans MS" w:hAnsi="Comic Sans MS"/>
          <w:sz w:val="20"/>
        </w:rPr>
        <w:t xml:space="preserve">On prendra ℓ = 10 cm et </w:t>
      </w:r>
      <w:r w:rsidRPr="006258B2">
        <w:rPr>
          <w:rFonts w:ascii="Cambria Math" w:hAnsi="Cambria Math"/>
          <w:sz w:val="20"/>
        </w:rPr>
        <w:t>𝜏</w:t>
      </w:r>
      <w:r w:rsidRPr="006258B2">
        <w:rPr>
          <w:rFonts w:ascii="Comic Sans MS" w:hAnsi="Comic Sans MS"/>
          <w:sz w:val="20"/>
        </w:rPr>
        <w:t> = 1 µs. Calculer le rapport des densités volumiques d’énergie électrique et magnétique</w:t>
      </w:r>
      <w:r w:rsidR="001C66DF">
        <w:rPr>
          <w:rFonts w:ascii="Comic Sans MS" w:hAnsi="Comic Sans MS"/>
          <w:sz w:val="20"/>
        </w:rPr>
        <w:t xml:space="preserve"> en ARQS</w:t>
      </w:r>
      <w:r w:rsidRPr="006258B2">
        <w:rPr>
          <w:rFonts w:ascii="Comic Sans MS" w:hAnsi="Comic Sans MS"/>
          <w:sz w:val="20"/>
        </w:rPr>
        <w:t>.</w:t>
      </w:r>
    </w:p>
    <w:p w:rsidR="006258B2" w:rsidRPr="006258B2" w:rsidRDefault="006258B2" w:rsidP="006258B2">
      <w:pPr>
        <w:pStyle w:val="Paragraphedeliste"/>
        <w:widowControl/>
        <w:numPr>
          <w:ilvl w:val="0"/>
          <w:numId w:val="8"/>
        </w:numPr>
        <w:spacing w:after="200"/>
        <w:ind w:right="0"/>
        <w:rPr>
          <w:rFonts w:ascii="Comic Sans MS" w:hAnsi="Comic Sans MS"/>
          <w:sz w:val="20"/>
        </w:rPr>
      </w:pPr>
      <w:r w:rsidRPr="006258B2">
        <w:rPr>
          <w:rFonts w:ascii="Comic Sans MS" w:hAnsi="Comic Sans MS"/>
          <w:sz w:val="20"/>
        </w:rPr>
        <w:t xml:space="preserve">Calculer le vecteur de </w:t>
      </w:r>
      <w:proofErr w:type="spellStart"/>
      <w:r w:rsidRPr="006258B2">
        <w:rPr>
          <w:rFonts w:ascii="Comic Sans MS" w:hAnsi="Comic Sans MS"/>
          <w:sz w:val="20"/>
        </w:rPr>
        <w:t>Poynting</w:t>
      </w:r>
      <w:proofErr w:type="spellEnd"/>
      <w:r w:rsidRPr="006258B2">
        <w:rPr>
          <w:rFonts w:ascii="Comic Sans MS" w:hAnsi="Comic Sans MS"/>
          <w:sz w:val="20"/>
        </w:rPr>
        <w:t xml:space="preserve"> et son flux. Commenter.</w:t>
      </w:r>
    </w:p>
    <w:p w:rsidR="0084431B" w:rsidRPr="006258B2" w:rsidRDefault="0084431B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6258B2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15253" w:rsidRPr="00D7201F" w:rsidRDefault="00615253" w:rsidP="00615253">
      <w:pPr>
        <w:jc w:val="center"/>
        <w:rPr>
          <w:rFonts w:ascii="Comic Sans MS" w:hAnsi="Comic Sans MS"/>
          <w:b/>
          <w:color w:val="FF0000"/>
          <w:u w:val="single"/>
        </w:rPr>
      </w:pPr>
      <w:r w:rsidRPr="00D7201F">
        <w:rPr>
          <w:rFonts w:ascii="Comic Sans MS" w:hAnsi="Comic Sans MS"/>
          <w:b/>
          <w:color w:val="FF0000"/>
          <w:u w:val="single"/>
        </w:rPr>
        <w:lastRenderedPageBreak/>
        <w:t>Electromagnétisme</w:t>
      </w: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Pr="00D7201F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258B2" w:rsidRPr="00D7201F" w:rsidRDefault="006258B2" w:rsidP="006258B2">
      <w:pPr>
        <w:pStyle w:val="Paragraphedeliste"/>
        <w:widowControl/>
        <w:numPr>
          <w:ilvl w:val="0"/>
          <w:numId w:val="9"/>
        </w:numPr>
        <w:spacing w:after="200"/>
        <w:ind w:right="0"/>
        <w:rPr>
          <w:rFonts w:ascii="Comic Sans MS" w:hAnsi="Comic Sans MS"/>
          <w:color w:val="FF0000"/>
          <w:sz w:val="20"/>
        </w:rPr>
      </w:pPr>
      <w:r w:rsidRPr="00D7201F">
        <w:rPr>
          <w:rFonts w:ascii="Comic Sans MS" w:hAnsi="Comic Sans MS"/>
          <w:color w:val="FF0000"/>
          <w:sz w:val="20"/>
        </w:rPr>
        <w:t xml:space="preserve">Les courants variables sont à l’origine du champ électromoteur, qui est donc </w:t>
      </w:r>
      <w:proofErr w:type="spellStart"/>
      <w:r w:rsidRPr="00D7201F">
        <w:rPr>
          <w:rFonts w:ascii="Comic Sans MS" w:hAnsi="Comic Sans MS"/>
          <w:color w:val="FF0000"/>
          <w:sz w:val="20"/>
        </w:rPr>
        <w:t>orthoradial</w:t>
      </w:r>
      <w:proofErr w:type="spellEnd"/>
      <w:r w:rsidRPr="00D7201F">
        <w:rPr>
          <w:rFonts w:ascii="Comic Sans MS" w:hAnsi="Comic Sans MS"/>
          <w:color w:val="FF0000"/>
          <w:sz w:val="20"/>
        </w:rPr>
        <w:t xml:space="preserve"> et l’invariance de la distribution par rapport aux paramètres </w:t>
      </w:r>
      <m:oMath>
        <m:r>
          <w:rPr>
            <w:rFonts w:ascii="Cambria Math" w:hAnsi="Cambria Math"/>
            <w:color w:val="FF0000"/>
            <w:sz w:val="20"/>
          </w:rPr>
          <m:t>z</m:t>
        </m:r>
        <m:r>
          <w:rPr>
            <w:rFonts w:ascii="Cambria Math" w:hAnsi="Comic Sans MS"/>
            <w:color w:val="FF0000"/>
            <w:sz w:val="20"/>
          </w:rPr>
          <m:t xml:space="preserve"> </m:t>
        </m:r>
      </m:oMath>
      <w:r w:rsidRPr="00D7201F">
        <w:rPr>
          <w:rFonts w:ascii="Comic Sans MS" w:eastAsiaTheme="minorEastAsia" w:hAnsi="Comic Sans MS"/>
          <w:color w:val="FF0000"/>
          <w:sz w:val="20"/>
        </w:rPr>
        <w:t xml:space="preserve">et </w:t>
      </w:r>
      <w:r w:rsidRPr="00D7201F">
        <w:rPr>
          <w:rFonts w:ascii="Cambria Math" w:eastAsiaTheme="minorEastAsia" w:hAnsi="Cambria Math"/>
          <w:color w:val="FF0000"/>
          <w:sz w:val="20"/>
        </w:rPr>
        <w:t>𝛳</w:t>
      </w:r>
      <w:r w:rsidRPr="00D7201F">
        <w:rPr>
          <w:rFonts w:ascii="Comic Sans MS" w:hAnsi="Comic Sans MS"/>
          <w:color w:val="FF0000"/>
          <w:sz w:val="20"/>
        </w:rPr>
        <w:t xml:space="preserve"> entraînent donc bien : </w:t>
      </w:r>
      <m:oMath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</w:rPr>
              <m:t>E</m:t>
            </m:r>
          </m:e>
        </m:acc>
        <m:r>
          <w:rPr>
            <w:rFonts w:ascii="Cambria Math" w:hAnsi="Comic Sans MS"/>
            <w:color w:val="FF0000"/>
            <w:sz w:val="20"/>
          </w:rPr>
          <m:t>=</m:t>
        </m:r>
        <m:r>
          <w:rPr>
            <w:rFonts w:ascii="Cambria Math" w:hAnsi="Cambria Math"/>
            <w:color w:val="FF0000"/>
            <w:sz w:val="20"/>
          </w:rPr>
          <m:t>E</m:t>
        </m:r>
        <m:r>
          <w:rPr>
            <w:rFonts w:ascii="Cambria Math" w:hAnsi="Comic Sans MS"/>
            <w:color w:val="FF0000"/>
            <w:sz w:val="20"/>
          </w:rPr>
          <m:t>(</m:t>
        </m:r>
        <m:r>
          <w:rPr>
            <w:rFonts w:ascii="Cambria Math" w:hAnsi="Cambria Math"/>
            <w:color w:val="FF0000"/>
            <w:sz w:val="20"/>
          </w:rPr>
          <m:t>r</m:t>
        </m:r>
        <m:r>
          <w:rPr>
            <w:rFonts w:ascii="Cambria Math" w:hAnsi="Comic Sans MS"/>
            <w:color w:val="FF0000"/>
            <w:sz w:val="20"/>
          </w:rPr>
          <m:t>,</m:t>
        </m:r>
        <m:r>
          <w:rPr>
            <w:rFonts w:ascii="Cambria Math" w:hAnsi="Cambria Math"/>
            <w:color w:val="FF0000"/>
            <w:sz w:val="20"/>
          </w:rPr>
          <m:t>t</m:t>
        </m:r>
        <m:r>
          <w:rPr>
            <w:rFonts w:ascii="Cambria Math" w:hAnsi="Comic Sans MS"/>
            <w:color w:val="FF0000"/>
            <w:sz w:val="20"/>
          </w:rPr>
          <m:t>)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ϴ</m:t>
                </m:r>
              </m:sub>
            </m:sSub>
          </m:e>
        </m:acc>
      </m:oMath>
      <w:r w:rsidRPr="00D7201F">
        <w:rPr>
          <w:rFonts w:ascii="Comic Sans MS" w:hAnsi="Comic Sans MS"/>
          <w:color w:val="FF0000"/>
          <w:sz w:val="20"/>
        </w:rPr>
        <w:t>.</w:t>
      </w:r>
      <w:r w:rsidR="002F7816">
        <w:rPr>
          <w:rFonts w:ascii="Comic Sans MS" w:hAnsi="Comic Sans MS"/>
          <w:color w:val="FF0000"/>
          <w:sz w:val="20"/>
        </w:rPr>
        <w:t xml:space="preserve"> On voit dès le départ que le modèle présente des imperfections car il implique également un champ magnétique non uniforme : implicitement l’ARQS est imposé.</w:t>
      </w:r>
    </w:p>
    <w:p w:rsidR="006258B2" w:rsidRPr="00D7201F" w:rsidRDefault="006258B2" w:rsidP="006258B2">
      <w:pPr>
        <w:pStyle w:val="Paragraphedeliste"/>
        <w:widowControl/>
        <w:numPr>
          <w:ilvl w:val="0"/>
          <w:numId w:val="9"/>
        </w:numPr>
        <w:spacing w:after="200"/>
        <w:ind w:right="0"/>
        <w:rPr>
          <w:rFonts w:ascii="Comic Sans MS" w:hAnsi="Comic Sans MS"/>
          <w:color w:val="FF0000"/>
          <w:sz w:val="20"/>
        </w:rPr>
      </w:pPr>
      <w:r w:rsidRPr="00D7201F">
        <w:rPr>
          <w:rFonts w:ascii="Comic Sans MS" w:hAnsi="Comic Sans MS"/>
          <w:color w:val="FF0000"/>
          <w:sz w:val="20"/>
        </w:rPr>
        <w:t xml:space="preserve">Dans le solénoïde : </w:t>
      </w:r>
      <m:oMath>
        <m:r>
          <w:rPr>
            <w:rFonts w:ascii="Cambria Math" w:hAnsi="Cambria Math"/>
            <w:color w:val="FF0000"/>
            <w:sz w:val="20"/>
          </w:rPr>
          <m:t>E</m:t>
        </m:r>
        <m:r>
          <w:rPr>
            <w:rFonts w:ascii="Cambria Math" w:hAnsi="Comic Sans MS"/>
            <w:color w:val="FF0000"/>
            <w:sz w:val="20"/>
          </w:rPr>
          <m:t>=</m:t>
        </m:r>
        <m:r>
          <w:rPr>
            <w:rFonts w:ascii="Cambria Math" w:hAnsi="Comic Sans MS"/>
            <w:color w:val="FF0000"/>
            <w:sz w:val="20"/>
          </w:rPr>
          <m:t>-</m:t>
        </m:r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r</m:t>
            </m:r>
          </m:num>
          <m:den>
            <m:r>
              <w:rPr>
                <w:rFonts w:ascii="Cambria Math" w:hAnsi="Comic Sans MS"/>
                <w:color w:val="FF0000"/>
                <w:sz w:val="20"/>
              </w:rPr>
              <m:t>2</m:t>
            </m:r>
          </m:den>
        </m:f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dB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dt</m:t>
            </m:r>
          </m:den>
        </m:f>
        <m:r>
          <w:rPr>
            <w:rFonts w:ascii="Cambria Math" w:hAnsi="Cambria Math"/>
            <w:color w:val="FF0000"/>
            <w:sz w:val="20"/>
          </w:rPr>
          <m:t>∝</m:t>
        </m:r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rB</m:t>
            </m:r>
          </m:num>
          <m:den>
            <m:r>
              <w:rPr>
                <w:rFonts w:ascii="Cambria Math" w:hAnsi="Comic Sans MS"/>
                <w:color w:val="FF0000"/>
                <w:sz w:val="20"/>
              </w:rPr>
              <m:t>2</m:t>
            </m:r>
            <m:r>
              <w:rPr>
                <w:rFonts w:ascii="Cambria Math" w:hAnsi="Cambria Math"/>
                <w:color w:val="FF0000"/>
                <w:sz w:val="20"/>
              </w:rPr>
              <m:t>τ</m:t>
            </m:r>
          </m:den>
        </m:f>
      </m:oMath>
      <w:r w:rsidRPr="00D7201F">
        <w:rPr>
          <w:rFonts w:ascii="Comic Sans MS" w:eastAsiaTheme="minorEastAsia" w:hAnsi="Comic Sans MS"/>
          <w:color w:val="FF0000"/>
          <w:sz w:val="20"/>
        </w:rPr>
        <w:t xml:space="preserve"> et donc </w:t>
      </w:r>
      <m:oMath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e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m</m:t>
                </m:r>
              </m:sub>
            </m:sSub>
          </m:den>
        </m:f>
        <m:r>
          <w:rPr>
            <w:rFonts w:ascii="Cambria Math" w:eastAsiaTheme="minorEastAsia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ε</m:t>
                </m:r>
              </m:e>
              <m:sub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µ</m:t>
                </m:r>
              </m:e>
              <m:sub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r</m:t>
                </m:r>
              </m:e>
              <m:sup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omic Sans MS"/>
                <w:color w:val="FF0000"/>
                <w:sz w:val="20"/>
              </w:rPr>
              <m:t>4</m:t>
            </m:r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τ</m:t>
                </m:r>
              </m:e>
              <m:sup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r</m:t>
                </m:r>
              </m:e>
              <m:sup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omic Sans MS"/>
                <w:color w:val="FF0000"/>
                <w:sz w:val="20"/>
              </w:rPr>
              <m:t>4</m:t>
            </m:r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c</m:t>
                </m:r>
              </m:e>
              <m:sup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τ</m:t>
                </m:r>
              </m:e>
              <m:sup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omic Sans MS"/>
            <w:color w:val="FF0000"/>
            <w:sz w:val="20"/>
          </w:rPr>
          <m:t>≈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l</m:t>
                </m:r>
              </m:e>
              <m:sup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omic Sans MS"/>
                <w:color w:val="FF0000"/>
                <w:sz w:val="20"/>
              </w:rPr>
              <m:t>4</m:t>
            </m:r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c</m:t>
                </m:r>
              </m:e>
              <m:sup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τ</m:t>
                </m:r>
              </m:e>
              <m:sup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color w:val="FF0000"/>
            <w:sz w:val="20"/>
          </w:rPr>
          <m:t>≪</m:t>
        </m:r>
        <m:r>
          <w:rPr>
            <w:rFonts w:ascii="Cambria Math" w:eastAsiaTheme="minorEastAsia" w:hAnsi="Comic Sans MS"/>
            <w:color w:val="FF0000"/>
            <w:sz w:val="20"/>
          </w:rPr>
          <m:t>1</m:t>
        </m:r>
      </m:oMath>
      <w:r w:rsidRPr="00D7201F">
        <w:rPr>
          <w:rFonts w:ascii="Comic Sans MS" w:eastAsiaTheme="minorEastAsia" w:hAnsi="Comic Sans MS"/>
          <w:color w:val="FF0000"/>
          <w:sz w:val="20"/>
        </w:rPr>
        <w:t> : l’énergie est essentiellement magnétique dans la bobine.</w:t>
      </w:r>
    </w:p>
    <w:p w:rsidR="006258B2" w:rsidRPr="00D7201F" w:rsidRDefault="006258B2" w:rsidP="006258B2">
      <w:pPr>
        <w:pStyle w:val="Paragraphedeliste"/>
        <w:widowControl/>
        <w:numPr>
          <w:ilvl w:val="0"/>
          <w:numId w:val="9"/>
        </w:numPr>
        <w:spacing w:after="200"/>
        <w:ind w:right="0"/>
        <w:rPr>
          <w:rFonts w:ascii="Comic Sans MS" w:hAnsi="Comic Sans MS"/>
          <w:color w:val="FF0000"/>
          <w:sz w:val="20"/>
        </w:rPr>
      </w:pPr>
      <m:oMath>
        <m:r>
          <w:rPr>
            <w:rFonts w:ascii="Cambria Math" w:hAnsi="Cambria Math"/>
            <w:color w:val="FF0000"/>
            <w:sz w:val="20"/>
          </w:rPr>
          <m:t>R</m:t>
        </m:r>
        <m:r>
          <w:rPr>
            <w:rFonts w:ascii="Cambria Math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r</m:t>
            </m:r>
            <m:sSup>
              <m:sSup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B</m:t>
                </m:r>
              </m:e>
              <m:sup>
                <m:r>
                  <w:rPr>
                    <w:rFonts w:ascii="Cambria Math" w:hAnsi="Comic Sans MS"/>
                    <w:color w:val="FF0000"/>
                    <w:sz w:val="20"/>
                  </w:rPr>
                  <m:t>2</m:t>
                </m:r>
              </m:sup>
            </m:sSup>
          </m:num>
          <m:den>
            <m:r>
              <w:rPr>
                <w:rFonts w:ascii="Cambria Math" w:hAnsi="Comic Sans MS"/>
                <w:color w:val="FF0000"/>
                <w:sz w:val="20"/>
              </w:rPr>
              <m:t>2</m:t>
            </m:r>
            <m:r>
              <w:rPr>
                <w:rFonts w:ascii="Cambria Math" w:hAnsi="Cambria Math"/>
                <w:color w:val="FF0000"/>
                <w:sz w:val="20"/>
              </w:rPr>
              <m:t>τ</m:t>
            </m:r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omic Sans MS"/>
                    <w:color w:val="FF0000"/>
                    <w:sz w:val="20"/>
                  </w:rPr>
                  <m:t>µ</m:t>
                </m:r>
              </m:e>
              <m:sub>
                <m:r>
                  <w:rPr>
                    <w:rFonts w:ascii="Cambria Math" w:hAnsi="Comic Sans MS"/>
                    <w:color w:val="FF0000"/>
                    <w:sz w:val="20"/>
                  </w:rPr>
                  <m:t>0</m:t>
                </m:r>
              </m:sub>
            </m:sSub>
          </m:den>
        </m:f>
      </m:oMath>
      <w:r w:rsidRPr="00D7201F">
        <w:rPr>
          <w:rFonts w:ascii="Comic Sans MS" w:eastAsiaTheme="minorEastAsia" w:hAnsi="Comic Sans MS"/>
          <w:color w:val="FF0000"/>
          <w:sz w:val="20"/>
        </w:rPr>
        <w:t xml:space="preserve"> et son flux est sortant e</w:t>
      </w:r>
      <w:r w:rsidR="004B42A2">
        <w:rPr>
          <w:rFonts w:ascii="Comic Sans MS" w:eastAsiaTheme="minorEastAsia" w:hAnsi="Comic Sans MS"/>
          <w:color w:val="FF0000"/>
          <w:sz w:val="20"/>
        </w:rPr>
        <w:t>s</w:t>
      </w:r>
      <w:r w:rsidRPr="00D7201F">
        <w:rPr>
          <w:rFonts w:ascii="Comic Sans MS" w:eastAsiaTheme="minorEastAsia" w:hAnsi="Comic Sans MS"/>
          <w:color w:val="FF0000"/>
          <w:sz w:val="20"/>
        </w:rPr>
        <w:t xml:space="preserve">t donné par </w:t>
      </w:r>
      <m:oMath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π</m:t>
            </m:r>
            <m:sSup>
              <m:sSup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a</m:t>
                </m:r>
              </m:e>
              <m:sup>
                <m:r>
                  <w:rPr>
                    <w:rFonts w:ascii="Cambria Math" w:hAnsi="Comic Sans MS"/>
                    <w:color w:val="FF0000"/>
                    <w:sz w:val="20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  <w:sz w:val="20"/>
              </w:rPr>
              <m:t>l</m:t>
            </m:r>
            <m:sSup>
              <m:sSup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B</m:t>
                </m:r>
              </m:e>
              <m:sup>
                <m:r>
                  <w:rPr>
                    <w:rFonts w:ascii="Cambria Math" w:hAnsi="Comic Sans MS"/>
                    <w:color w:val="FF0000"/>
                    <w:sz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20"/>
              </w:rPr>
              <m:t>τ</m:t>
            </m:r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omic Sans MS"/>
                    <w:color w:val="FF0000"/>
                    <w:sz w:val="20"/>
                  </w:rPr>
                  <m:t>µ</m:t>
                </m:r>
              </m:e>
              <m:sub>
                <m:r>
                  <w:rPr>
                    <w:rFonts w:ascii="Cambria Math" w:hAnsi="Comic Sans MS"/>
                    <w:color w:val="FF0000"/>
                    <w:sz w:val="20"/>
                  </w:rPr>
                  <m:t>0</m:t>
                </m:r>
              </m:sub>
            </m:sSub>
          </m:den>
        </m:f>
        <m:r>
          <w:rPr>
            <w:rFonts w:ascii="Cambria Math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20"/>
              </w:rPr>
              <m:t>τ</m:t>
            </m:r>
            <m:r>
              <w:rPr>
                <w:rFonts w:ascii="Cambria Math" w:hAnsi="Comic Sans MS"/>
                <w:color w:val="FF0000"/>
                <w:sz w:val="20"/>
              </w:rPr>
              <m:t>/2</m:t>
            </m:r>
          </m:den>
        </m:f>
      </m:oMath>
      <w:r w:rsidRPr="00D7201F">
        <w:rPr>
          <w:rFonts w:ascii="Comic Sans MS" w:eastAsiaTheme="minorEastAsia" w:hAnsi="Comic Sans MS"/>
          <w:color w:val="FF0000"/>
          <w:sz w:val="20"/>
        </w:rPr>
        <w:t xml:space="preserve"> le temps de relaxation en </w:t>
      </w:r>
      <w:r w:rsidR="00201BED">
        <w:rPr>
          <w:rFonts w:ascii="Comic Sans MS" w:eastAsiaTheme="minorEastAsia" w:hAnsi="Comic Sans MS"/>
          <w:color w:val="FF0000"/>
          <w:sz w:val="20"/>
        </w:rPr>
        <w:t>puissance</w:t>
      </w:r>
      <w:bookmarkStart w:id="0" w:name="_GoBack"/>
      <w:bookmarkEnd w:id="0"/>
      <w:r w:rsidRPr="00D7201F">
        <w:rPr>
          <w:rFonts w:ascii="Comic Sans MS" w:eastAsiaTheme="minorEastAsia" w:hAnsi="Comic Sans MS"/>
          <w:color w:val="FF0000"/>
          <w:sz w:val="20"/>
        </w:rPr>
        <w:t xml:space="preserve"> est deux fois plus court.</w:t>
      </w:r>
    </w:p>
    <w:p w:rsidR="006258B2" w:rsidRDefault="006258B2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sectPr w:rsidR="008B4D0D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03C" w:rsidRDefault="00A5703C" w:rsidP="0084431B">
      <w:r>
        <w:separator/>
      </w:r>
    </w:p>
  </w:endnote>
  <w:endnote w:type="continuationSeparator" w:id="0">
    <w:p w:rsidR="00A5703C" w:rsidRDefault="00A5703C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03C" w:rsidRDefault="00A5703C" w:rsidP="0084431B">
      <w:r>
        <w:separator/>
      </w:r>
    </w:p>
  </w:footnote>
  <w:footnote w:type="continuationSeparator" w:id="0">
    <w:p w:rsidR="00A5703C" w:rsidRDefault="00A5703C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A5703C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D7201F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 8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D7201F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1313"/>
    <w:multiLevelType w:val="multilevel"/>
    <w:tmpl w:val="46AE08FC"/>
    <w:numStyleLink w:val="StyleHirarchisation"/>
  </w:abstractNum>
  <w:abstractNum w:abstractNumId="7" w15:restartNumberingAfterBreak="0">
    <w:nsid w:val="6D911115"/>
    <w:multiLevelType w:val="multilevel"/>
    <w:tmpl w:val="46AE08FC"/>
    <w:numStyleLink w:val="StyleHirarchisation"/>
  </w:abstractNum>
  <w:abstractNum w:abstractNumId="8" w15:restartNumberingAfterBreak="0">
    <w:nsid w:val="772D3D9D"/>
    <w:multiLevelType w:val="multilevel"/>
    <w:tmpl w:val="46AE08FC"/>
    <w:numStyleLink w:val="StyleHirarchisation"/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20617"/>
    <w:rsid w:val="000830F7"/>
    <w:rsid w:val="00083792"/>
    <w:rsid w:val="000859A3"/>
    <w:rsid w:val="000B5765"/>
    <w:rsid w:val="00101421"/>
    <w:rsid w:val="00121195"/>
    <w:rsid w:val="00174E8B"/>
    <w:rsid w:val="001801D9"/>
    <w:rsid w:val="001B4CB7"/>
    <w:rsid w:val="001C66DF"/>
    <w:rsid w:val="001D163F"/>
    <w:rsid w:val="001F5C39"/>
    <w:rsid w:val="00201BED"/>
    <w:rsid w:val="00233F9E"/>
    <w:rsid w:val="002405A3"/>
    <w:rsid w:val="00246E4C"/>
    <w:rsid w:val="00254871"/>
    <w:rsid w:val="002A595C"/>
    <w:rsid w:val="002B792E"/>
    <w:rsid w:val="002F0690"/>
    <w:rsid w:val="002F7816"/>
    <w:rsid w:val="003824B2"/>
    <w:rsid w:val="003C1079"/>
    <w:rsid w:val="00422AED"/>
    <w:rsid w:val="00465B14"/>
    <w:rsid w:val="004B42A2"/>
    <w:rsid w:val="004F3CBD"/>
    <w:rsid w:val="0051083A"/>
    <w:rsid w:val="00542EBF"/>
    <w:rsid w:val="00583013"/>
    <w:rsid w:val="005D4DAD"/>
    <w:rsid w:val="005E13E1"/>
    <w:rsid w:val="005E308E"/>
    <w:rsid w:val="005F228F"/>
    <w:rsid w:val="00615253"/>
    <w:rsid w:val="006258B2"/>
    <w:rsid w:val="00653486"/>
    <w:rsid w:val="00657514"/>
    <w:rsid w:val="006A154C"/>
    <w:rsid w:val="006D5E23"/>
    <w:rsid w:val="007051F3"/>
    <w:rsid w:val="00727BA7"/>
    <w:rsid w:val="00777D37"/>
    <w:rsid w:val="007F104B"/>
    <w:rsid w:val="0081167A"/>
    <w:rsid w:val="008304D9"/>
    <w:rsid w:val="0084431B"/>
    <w:rsid w:val="00854820"/>
    <w:rsid w:val="00861E05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D2427"/>
    <w:rsid w:val="009E78B0"/>
    <w:rsid w:val="00A0078C"/>
    <w:rsid w:val="00A1240C"/>
    <w:rsid w:val="00A447E9"/>
    <w:rsid w:val="00A5703C"/>
    <w:rsid w:val="00A63032"/>
    <w:rsid w:val="00A7281C"/>
    <w:rsid w:val="00A83F8F"/>
    <w:rsid w:val="00A84030"/>
    <w:rsid w:val="00A945FD"/>
    <w:rsid w:val="00AA3231"/>
    <w:rsid w:val="00AE4345"/>
    <w:rsid w:val="00AE4889"/>
    <w:rsid w:val="00B06879"/>
    <w:rsid w:val="00B83FE9"/>
    <w:rsid w:val="00BC50AF"/>
    <w:rsid w:val="00BF2E85"/>
    <w:rsid w:val="00BF3E5D"/>
    <w:rsid w:val="00CB52D2"/>
    <w:rsid w:val="00CC6C63"/>
    <w:rsid w:val="00CD3319"/>
    <w:rsid w:val="00CE2AFE"/>
    <w:rsid w:val="00CF2888"/>
    <w:rsid w:val="00D7201F"/>
    <w:rsid w:val="00D76AC7"/>
    <w:rsid w:val="00D82716"/>
    <w:rsid w:val="00DA79A7"/>
    <w:rsid w:val="00DE18E4"/>
    <w:rsid w:val="00E06580"/>
    <w:rsid w:val="00E93805"/>
    <w:rsid w:val="00E96F8D"/>
    <w:rsid w:val="00ED709D"/>
    <w:rsid w:val="00EE3AFF"/>
    <w:rsid w:val="00EF6E3F"/>
    <w:rsid w:val="00F1116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F613E14"/>
  <w15:docId w15:val="{F2596B44-F159-4C7A-A234-CDBA5DAB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0639B"/>
    <w:rsid w:val="002F4EC8"/>
    <w:rsid w:val="0037372A"/>
    <w:rsid w:val="00456FB7"/>
    <w:rsid w:val="004C6792"/>
    <w:rsid w:val="006E7EBB"/>
    <w:rsid w:val="007168FE"/>
    <w:rsid w:val="009A4D5D"/>
    <w:rsid w:val="00AA7593"/>
    <w:rsid w:val="00C31414"/>
    <w:rsid w:val="00E12984"/>
    <w:rsid w:val="00F1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2F4EC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8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8</dc:title>
  <dc:subject/>
  <dc:creator>Alexis</dc:creator>
  <cp:keywords/>
  <dc:description/>
  <cp:lastModifiedBy>Alexis Meret</cp:lastModifiedBy>
  <cp:revision>16</cp:revision>
  <cp:lastPrinted>2016-05-29T09:30:00Z</cp:lastPrinted>
  <dcterms:created xsi:type="dcterms:W3CDTF">2016-04-14T14:30:00Z</dcterms:created>
  <dcterms:modified xsi:type="dcterms:W3CDTF">2018-05-29T20:29:00Z</dcterms:modified>
</cp:coreProperties>
</file>