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9D7" w:rsidRDefault="00D239D7" w:rsidP="00D239D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1 : Banc </w:t>
      </w:r>
      <w:proofErr w:type="spellStart"/>
      <w:r>
        <w:rPr>
          <w:rFonts w:ascii="Comic Sans MS" w:hAnsi="Comic Sans MS"/>
          <w:b/>
          <w:color w:val="FF0000"/>
          <w:sz w:val="20"/>
          <w:szCs w:val="20"/>
          <w:u w:val="single"/>
        </w:rPr>
        <w:t>Kofler</w:t>
      </w:r>
      <w:proofErr w:type="spellEnd"/>
    </w:p>
    <w:p w:rsidR="00810896" w:rsidRPr="00810896" w:rsidRDefault="00810896" w:rsidP="00810896">
      <w:pPr>
        <w:pStyle w:val="NormalWeb"/>
        <w:numPr>
          <w:ilvl w:val="0"/>
          <w:numId w:val="2"/>
        </w:numPr>
        <w:rPr>
          <w:rFonts w:ascii="Comic Sans MS" w:hAnsi="Comic Sans MS"/>
          <w:color w:val="92D050"/>
          <w:sz w:val="20"/>
          <w:szCs w:val="20"/>
          <w:u w:val="single"/>
        </w:rPr>
      </w:pPr>
      <w:r w:rsidRPr="00810896">
        <w:rPr>
          <w:rFonts w:ascii="Comic Sans MS" w:hAnsi="Comic Sans MS"/>
          <w:color w:val="92D050"/>
          <w:sz w:val="20"/>
          <w:szCs w:val="20"/>
          <w:u w:val="single"/>
        </w:rPr>
        <w:t>Introduction :</w:t>
      </w:r>
    </w:p>
    <w:p w:rsidR="00CC6C63" w:rsidRDefault="00810896" w:rsidP="00ED35CA">
      <w:pPr>
        <w:pStyle w:val="NormalWeb"/>
        <w:jc w:val="both"/>
        <w:rPr>
          <w:rFonts w:ascii="Comic Sans MS" w:hAnsi="Comic Sans MS"/>
          <w:sz w:val="20"/>
          <w:szCs w:val="20"/>
        </w:rPr>
      </w:pPr>
      <w:r w:rsidRPr="00810896">
        <w:rPr>
          <w:rFonts w:ascii="Comic Sans MS" w:hAnsi="Comic Sans MS"/>
          <w:sz w:val="20"/>
          <w:szCs w:val="20"/>
        </w:rPr>
        <w:t xml:space="preserve">La table chauffante de </w:t>
      </w:r>
      <w:proofErr w:type="spellStart"/>
      <w:r w:rsidRPr="00810896">
        <w:rPr>
          <w:rFonts w:ascii="Comic Sans MS" w:hAnsi="Comic Sans MS"/>
          <w:sz w:val="20"/>
          <w:szCs w:val="20"/>
        </w:rPr>
        <w:t>Kofler</w:t>
      </w:r>
      <w:proofErr w:type="spellEnd"/>
      <w:r w:rsidRPr="00810896">
        <w:rPr>
          <w:rFonts w:ascii="Comic Sans MS" w:hAnsi="Comic Sans MS"/>
          <w:sz w:val="20"/>
          <w:szCs w:val="20"/>
        </w:rPr>
        <w:t xml:space="preserve">, appelée en pratique </w:t>
      </w:r>
      <w:r w:rsidRPr="001776A8">
        <w:rPr>
          <w:rFonts w:ascii="Comic Sans MS" w:hAnsi="Comic Sans MS"/>
          <w:bCs/>
          <w:sz w:val="20"/>
          <w:szCs w:val="20"/>
        </w:rPr>
        <w:t xml:space="preserve">banc </w:t>
      </w:r>
      <w:proofErr w:type="spellStart"/>
      <w:r w:rsidRPr="001776A8">
        <w:rPr>
          <w:rFonts w:ascii="Comic Sans MS" w:hAnsi="Comic Sans MS"/>
          <w:bCs/>
          <w:sz w:val="20"/>
          <w:szCs w:val="20"/>
        </w:rPr>
        <w:t>Kofler</w:t>
      </w:r>
      <w:proofErr w:type="spellEnd"/>
      <w:r w:rsidRPr="001776A8">
        <w:rPr>
          <w:rFonts w:ascii="Comic Sans MS" w:hAnsi="Comic Sans MS"/>
          <w:sz w:val="20"/>
          <w:szCs w:val="20"/>
        </w:rPr>
        <w:t>,</w:t>
      </w:r>
      <w:r w:rsidRPr="00810896">
        <w:rPr>
          <w:rFonts w:ascii="Comic Sans MS" w:hAnsi="Comic Sans MS"/>
          <w:sz w:val="20"/>
          <w:szCs w:val="20"/>
        </w:rPr>
        <w:t xml:space="preserve"> est un appareil de mesure permettant d'estimer la </w:t>
      </w:r>
      <w:hyperlink r:id="rId8" w:tooltip="Température de fusion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température de fusion</w:t>
        </w:r>
      </w:hyperlink>
      <w:r w:rsidRPr="00810896">
        <w:rPr>
          <w:rFonts w:ascii="Comic Sans MS" w:hAnsi="Comic Sans MS"/>
          <w:sz w:val="20"/>
          <w:szCs w:val="20"/>
        </w:rPr>
        <w:t xml:space="preserve"> d'une matière</w:t>
      </w:r>
      <w:r>
        <w:rPr>
          <w:rFonts w:ascii="Comic Sans MS" w:hAnsi="Comic Sans MS"/>
          <w:sz w:val="20"/>
          <w:szCs w:val="20"/>
        </w:rPr>
        <w:t xml:space="preserve"> et ainsi de l’identifier. </w:t>
      </w:r>
      <w:r w:rsidRPr="00810896">
        <w:rPr>
          <w:rFonts w:ascii="Comic Sans MS" w:hAnsi="Comic Sans MS"/>
          <w:sz w:val="20"/>
          <w:szCs w:val="20"/>
        </w:rPr>
        <w:t>Il s'agit d'une plaque c</w:t>
      </w:r>
      <w:r w:rsidR="00C944BB">
        <w:rPr>
          <w:rFonts w:ascii="Comic Sans MS" w:hAnsi="Comic Sans MS"/>
          <w:sz w:val="20"/>
          <w:szCs w:val="20"/>
        </w:rPr>
        <w:t>hauffée</w:t>
      </w:r>
      <w:r w:rsidRPr="00810896">
        <w:rPr>
          <w:rFonts w:ascii="Comic Sans MS" w:hAnsi="Comic Sans MS"/>
          <w:sz w:val="20"/>
          <w:szCs w:val="20"/>
        </w:rPr>
        <w:t xml:space="preserve"> présentant un </w:t>
      </w:r>
      <w:hyperlink r:id="rId9" w:tooltip="Gradient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gradient</w:t>
        </w:r>
      </w:hyperlink>
      <w:r w:rsidRPr="00810896">
        <w:rPr>
          <w:rFonts w:ascii="Comic Sans MS" w:hAnsi="Comic Sans MS"/>
          <w:sz w:val="20"/>
          <w:szCs w:val="20"/>
        </w:rPr>
        <w:t xml:space="preserve"> de température, sur laquelle on déplace un </w:t>
      </w:r>
      <w:hyperlink r:id="rId10" w:tooltip="Échantillon (matière)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échantillon</w:t>
        </w:r>
      </w:hyperlink>
      <w:r w:rsidRPr="00810896">
        <w:rPr>
          <w:rFonts w:ascii="Comic Sans MS" w:hAnsi="Comic Sans MS"/>
          <w:sz w:val="20"/>
          <w:szCs w:val="20"/>
        </w:rPr>
        <w:t>.</w:t>
      </w:r>
    </w:p>
    <w:p w:rsidR="00ED35CA" w:rsidRDefault="00096EBF" w:rsidP="00C944BB">
      <w:pPr>
        <w:pStyle w:val="NormalWeb"/>
        <w:jc w:val="center"/>
        <w:rPr>
          <w:rFonts w:ascii="Comic Sans MS" w:hAnsi="Comic Sans MS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2.1pt;margin-top:.25pt;width:85.45pt;height:17.2pt;z-index:251659264" filled="f" stroked="f">
            <v:textbox>
              <w:txbxContent>
                <w:p w:rsidR="00C944BB" w:rsidRPr="00C944BB" w:rsidRDefault="00C944BB">
                  <w:pPr>
                    <w:rPr>
                      <w:b/>
                      <w:color w:val="FFFF00"/>
                      <w:sz w:val="18"/>
                      <w:szCs w:val="18"/>
                    </w:rPr>
                  </w:pPr>
                  <w:r w:rsidRPr="00C944BB">
                    <w:rPr>
                      <w:b/>
                      <w:color w:val="FFFF00"/>
                      <w:sz w:val="18"/>
                      <w:szCs w:val="18"/>
                    </w:rPr>
                    <w:t>Plaque chauffée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7.55pt;margin-top:17.45pt;width:0;height:41.9pt;z-index:251658240" o:connectortype="straight" strokecolor="yellow" strokeweight="2.25pt">
            <v:stroke endarrow="block"/>
          </v:shape>
        </w:pict>
      </w:r>
      <w:r w:rsidR="00721C3A">
        <w:rPr>
          <w:noProof/>
        </w:rPr>
        <w:drawing>
          <wp:inline distT="0" distB="0" distL="0" distR="0">
            <wp:extent cx="3419475" cy="2078947"/>
            <wp:effectExtent l="0" t="0" r="0" b="0"/>
            <wp:docPr id="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8209" b="10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700" cy="208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4BB" w:rsidRPr="00C944BB" w:rsidRDefault="00C944BB" w:rsidP="00C944BB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 w:rsidRPr="00C944BB">
        <w:rPr>
          <w:rFonts w:ascii="Comic Sans MS" w:hAnsi="Comic Sans MS"/>
          <w:color w:val="92D050"/>
          <w:sz w:val="20"/>
          <w:szCs w:val="20"/>
          <w:u w:val="single"/>
        </w:rPr>
        <w:t>Présentation</w:t>
      </w:r>
    </w:p>
    <w:p w:rsidR="00C944BB" w:rsidRDefault="00C944BB" w:rsidP="00C944BB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plaque est chauffée à l’aide de l’alimentation EDF débitant sur une résistance </w:t>
      </w:r>
      <m:oMath>
        <m:r>
          <w:rPr>
            <w:rFonts w:ascii="Cambria Math" w:hAnsi="Cambria Math"/>
            <w:sz w:val="20"/>
            <w:szCs w:val="20"/>
          </w:rPr>
          <m:t>R</m:t>
        </m:r>
      </m:oMath>
      <w:r>
        <w:rPr>
          <w:rFonts w:ascii="Comic Sans MS" w:hAnsi="Comic Sans MS"/>
          <w:sz w:val="20"/>
          <w:szCs w:val="20"/>
        </w:rPr>
        <w:t>. En régime stationnaire cette résistance atteint une température de 600K. Les transfert</w:t>
      </w:r>
      <w:r w:rsidR="009010B8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conducto</w:t>
      </w:r>
      <w:proofErr w:type="spellEnd"/>
      <w:r>
        <w:rPr>
          <w:rFonts w:ascii="Comic Sans MS" w:hAnsi="Comic Sans MS"/>
          <w:sz w:val="20"/>
          <w:szCs w:val="20"/>
        </w:rPr>
        <w:t xml:space="preserve">-convectif et </w:t>
      </w:r>
      <w:r w:rsidR="009010B8">
        <w:rPr>
          <w:rFonts w:ascii="Comic Sans MS" w:hAnsi="Comic Sans MS"/>
          <w:sz w:val="20"/>
          <w:szCs w:val="20"/>
        </w:rPr>
        <w:t xml:space="preserve">les échanges thermiques de type radiatifs sont intégrés dans un seul terme, noté </w:t>
      </w:r>
      <m:oMath>
        <m:r>
          <w:rPr>
            <w:rFonts w:ascii="Cambria Math" w:hAnsi="Cambria Math"/>
            <w:sz w:val="20"/>
            <w:szCs w:val="20"/>
          </w:rPr>
          <m:t>j</m:t>
        </m:r>
      </m:oMath>
      <w:r w:rsidR="001776A8">
        <w:rPr>
          <w:rFonts w:ascii="Comic Sans MS" w:hAnsi="Comic Sans MS"/>
          <w:sz w:val="20"/>
          <w:szCs w:val="20"/>
        </w:rPr>
        <w:t>, traduisant le vecteur densité de flux</w:t>
      </w:r>
      <w:r w:rsidR="00CB27E2">
        <w:rPr>
          <w:rFonts w:ascii="Comic Sans MS" w:hAnsi="Comic Sans MS"/>
          <w:sz w:val="20"/>
          <w:szCs w:val="20"/>
        </w:rPr>
        <w:t xml:space="preserve"> thermique dissipé</w:t>
      </w:r>
      <w:r w:rsidR="009010B8">
        <w:rPr>
          <w:rFonts w:ascii="Comic Sans MS" w:hAnsi="Comic Sans MS"/>
          <w:sz w:val="20"/>
          <w:szCs w:val="20"/>
        </w:rPr>
        <w:t xml:space="preserve"> avec l’extérieur </w:t>
      </w:r>
      <w:r w:rsidR="00CB27E2">
        <w:rPr>
          <w:rFonts w:ascii="Comic Sans MS" w:hAnsi="Comic Sans MS"/>
          <w:sz w:val="20"/>
          <w:szCs w:val="20"/>
        </w:rPr>
        <w:t xml:space="preserve">est </w:t>
      </w:r>
      <m:oMath>
        <m:r>
          <w:rPr>
            <w:rFonts w:ascii="Cambria Math" w:hAnsi="Cambria Math"/>
            <w:sz w:val="20"/>
            <w:szCs w:val="20"/>
          </w:rPr>
          <m:t>k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ext</m:t>
                </m:r>
              </m:sub>
            </m:sSub>
          </m:e>
        </m:d>
      </m:oMath>
      <w:r w:rsidR="009010B8">
        <w:rPr>
          <w:rFonts w:ascii="Comic Sans MS" w:hAnsi="Comic Sans MS"/>
          <w:sz w:val="20"/>
          <w:szCs w:val="20"/>
        </w:rPr>
        <w:t xml:space="preserve"> où </w:t>
      </w:r>
      <m:oMath>
        <m:r>
          <w:rPr>
            <w:rFonts w:ascii="Cambria Math" w:hAnsi="Cambria Math"/>
            <w:sz w:val="20"/>
            <w:szCs w:val="20"/>
          </w:rPr>
          <m:t>k=50W.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sz w:val="20"/>
            <w:szCs w:val="20"/>
          </w:rPr>
          <m:t>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</m:t>
            </m:r>
          </m:sup>
        </m:sSup>
      </m:oMath>
      <w:r w:rsidR="009010B8">
        <w:rPr>
          <w:rFonts w:ascii="Comic Sans MS" w:hAnsi="Comic Sans MS"/>
          <w:sz w:val="20"/>
          <w:szCs w:val="20"/>
        </w:rPr>
        <w:t xml:space="preserve"> est une constante et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ext</m:t>
            </m:r>
          </m:sub>
        </m:sSub>
        <m:r>
          <w:rPr>
            <w:rFonts w:ascii="Cambria Math" w:hAnsi="Cambria Math"/>
            <w:sz w:val="20"/>
            <w:szCs w:val="20"/>
          </w:rPr>
          <m:t>=27°C</m:t>
        </m:r>
      </m:oMath>
      <w:r w:rsidR="00B27390">
        <w:rPr>
          <w:rFonts w:ascii="Comic Sans MS" w:hAnsi="Comic Sans MS"/>
          <w:sz w:val="20"/>
          <w:szCs w:val="20"/>
        </w:rPr>
        <w:t xml:space="preserve"> la température extérieur</w:t>
      </w:r>
      <w:r w:rsidR="002D71A4">
        <w:rPr>
          <w:rFonts w:ascii="Comic Sans MS" w:hAnsi="Comic Sans MS"/>
          <w:sz w:val="20"/>
          <w:szCs w:val="20"/>
        </w:rPr>
        <w:t>e</w:t>
      </w:r>
      <w:r w:rsidR="009010B8">
        <w:rPr>
          <w:rFonts w:ascii="Comic Sans MS" w:hAnsi="Comic Sans MS"/>
          <w:sz w:val="20"/>
          <w:szCs w:val="20"/>
        </w:rPr>
        <w:t xml:space="preserve"> supposée constante</w:t>
      </w:r>
      <w:r w:rsidR="00B27390">
        <w:rPr>
          <w:rFonts w:ascii="Comic Sans MS" w:hAnsi="Comic Sans MS"/>
          <w:sz w:val="20"/>
          <w:szCs w:val="20"/>
        </w:rPr>
        <w:t>. La plaque est de dimension</w:t>
      </w:r>
      <w:r w:rsidR="00AE345E"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L≫δ=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λab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2k(a+b)</m:t>
                </m:r>
              </m:den>
            </m:f>
          </m:e>
        </m:rad>
      </m:oMath>
      <w:r w:rsidR="00CB27E2">
        <w:rPr>
          <w:rFonts w:ascii="Comic Sans MS" w:hAnsi="Comic Sans MS"/>
          <w:sz w:val="20"/>
          <w:szCs w:val="20"/>
        </w:rPr>
        <w:t>.</w:t>
      </w:r>
    </w:p>
    <w:p w:rsidR="00CA2D33" w:rsidRDefault="00096EBF" w:rsidP="00F42BEE">
      <w:pPr>
        <w:pStyle w:val="NormalWeb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0" type="#_x0000_t202" style="position:absolute;left:0;text-align:left;margin-left:94.35pt;margin-top:43.65pt;width:74.7pt;height:20.4pt;z-index:251661312" stroked="f">
            <v:textbox>
              <w:txbxContent>
                <w:p w:rsidR="00311F49" w:rsidRDefault="00311F49" w:rsidP="00311F49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29" type="#_x0000_t202" style="position:absolute;left:0;text-align:left;margin-left:88.4pt;margin-top:31.1pt;width:74.7pt;height:20.4pt;z-index:251660288" stroked="f">
            <v:textbox>
              <w:txbxContent>
                <w:p w:rsidR="00311F49" w:rsidRDefault="00311F49"/>
              </w:txbxContent>
            </v:textbox>
          </v:shape>
        </w:pict>
      </w:r>
      <w:r w:rsidR="00C944BB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3652198" cy="1037230"/>
            <wp:effectExtent l="19050" t="0" r="5402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36602" b="56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198" cy="103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D33" w:rsidRPr="00CA2D33" w:rsidRDefault="00CA2D33" w:rsidP="00CA2D33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 w:rsidRPr="00CA2D33">
        <w:rPr>
          <w:rFonts w:ascii="Comic Sans MS" w:hAnsi="Comic Sans MS"/>
          <w:color w:val="92D050"/>
          <w:sz w:val="20"/>
          <w:szCs w:val="20"/>
          <w:u w:val="single"/>
        </w:rPr>
        <w:t>Questions</w:t>
      </w:r>
    </w:p>
    <w:p w:rsidR="00B27390" w:rsidRDefault="00B27390" w:rsidP="00B27390">
      <w:pPr>
        <w:pStyle w:val="NormalWeb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Initialement, où est-il préférable de placer les cristaux ?</w:t>
      </w:r>
    </w:p>
    <w:p w:rsidR="00311F49" w:rsidRDefault="00311F49" w:rsidP="00B27390">
      <w:pPr>
        <w:pStyle w:val="NormalWeb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Est-il gênant de travailler avec une alimentation sinusoïdale ?</w:t>
      </w:r>
    </w:p>
    <w:p w:rsidR="00B27390" w:rsidRDefault="00B27390" w:rsidP="00B27390">
      <w:pPr>
        <w:pStyle w:val="NormalWeb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Donner l’équation différentielle vérifiée par </w:t>
      </w:r>
      <m:oMath>
        <m:r>
          <w:rPr>
            <w:rFonts w:ascii="Cambria Math" w:hAnsi="Cambria Math"/>
            <w:sz w:val="20"/>
            <w:szCs w:val="20"/>
          </w:rPr>
          <m:t>T(x)</m:t>
        </m:r>
      </m:oMath>
      <w:r w:rsidR="002D71A4">
        <w:rPr>
          <w:rFonts w:ascii="Comic Sans MS" w:hAnsi="Comic Sans MS"/>
          <w:sz w:val="20"/>
          <w:szCs w:val="20"/>
        </w:rPr>
        <w:t xml:space="preserve"> en régime stationnaire</w:t>
      </w:r>
      <w:r>
        <w:rPr>
          <w:rFonts w:ascii="Comic Sans MS" w:hAnsi="Comic Sans MS"/>
          <w:sz w:val="20"/>
          <w:szCs w:val="20"/>
        </w:rPr>
        <w:t>. La résoudre</w:t>
      </w:r>
      <w:r w:rsidR="00CB27E2">
        <w:rPr>
          <w:rFonts w:ascii="Comic Sans MS" w:hAnsi="Comic Sans MS"/>
          <w:sz w:val="20"/>
          <w:szCs w:val="20"/>
        </w:rPr>
        <w:t>.</w:t>
      </w:r>
    </w:p>
    <w:p w:rsidR="00B27390" w:rsidRDefault="00B27390" w:rsidP="00B27390">
      <w:pPr>
        <w:pStyle w:val="NormalWeb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précision sur la position </w:t>
      </w:r>
      <m:oMath>
        <m:r>
          <w:rPr>
            <w:rFonts w:ascii="Cambria Math" w:hAnsi="Cambria Math"/>
            <w:sz w:val="20"/>
            <w:szCs w:val="20"/>
          </w:rPr>
          <m:t>x</m:t>
        </m:r>
      </m:oMath>
      <w:r>
        <w:rPr>
          <w:rFonts w:ascii="Comic Sans MS" w:hAnsi="Comic Sans MS"/>
          <w:sz w:val="20"/>
          <w:szCs w:val="20"/>
        </w:rPr>
        <w:t xml:space="preserve"> de la lecture est </w:t>
      </w:r>
      <m:oMath>
        <m:r>
          <w:rPr>
            <w:rFonts w:ascii="Cambria Math" w:hAnsi="Cambria Math"/>
            <w:sz w:val="20"/>
            <w:szCs w:val="20"/>
          </w:rPr>
          <m:t>∆x=0,1cm</m:t>
        </m:r>
      </m:oMath>
      <w:r>
        <w:rPr>
          <w:rFonts w:ascii="Comic Sans MS" w:hAnsi="Comic Sans MS"/>
          <w:sz w:val="20"/>
          <w:szCs w:val="20"/>
        </w:rPr>
        <w:t>. Quelle précision relat</w:t>
      </w:r>
      <w:r w:rsidR="00CA2D33">
        <w:rPr>
          <w:rFonts w:ascii="Comic Sans MS" w:hAnsi="Comic Sans MS"/>
          <w:sz w:val="20"/>
          <w:szCs w:val="20"/>
        </w:rPr>
        <w:t xml:space="preserve">ive </w:t>
      </w:r>
      <w:r>
        <w:rPr>
          <w:rFonts w:ascii="Comic Sans MS" w:hAnsi="Comic Sans MS"/>
          <w:sz w:val="20"/>
          <w:szCs w:val="20"/>
        </w:rPr>
        <w:t xml:space="preserve"> peut-on espérer sur </w:t>
      </w:r>
      <m:oMath>
        <m:r>
          <w:rPr>
            <w:rFonts w:ascii="Cambria Math" w:hAnsi="Cambria Math"/>
            <w:sz w:val="20"/>
            <w:szCs w:val="20"/>
          </w:rPr>
          <m:t>T </m:t>
        </m:r>
      </m:oMath>
      <w:r w:rsidR="006114F2">
        <w:rPr>
          <w:rFonts w:ascii="Comic Sans MS" w:hAnsi="Comic Sans MS"/>
          <w:sz w:val="20"/>
          <w:szCs w:val="20"/>
        </w:rPr>
        <w:t xml:space="preserve"> à x=8cm </w:t>
      </w:r>
      <w:r>
        <w:rPr>
          <w:rFonts w:ascii="Comic Sans MS" w:hAnsi="Comic Sans MS"/>
          <w:sz w:val="20"/>
          <w:szCs w:val="20"/>
        </w:rPr>
        <w:t>?</w:t>
      </w:r>
    </w:p>
    <w:p w:rsidR="00CA2D33" w:rsidRPr="00CA2D33" w:rsidRDefault="00CA2D33" w:rsidP="00CA2D33">
      <w:pPr>
        <w:pStyle w:val="NormalWeb"/>
        <w:ind w:left="72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CA2D3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Magnétisme</w:t>
      </w:r>
      <w:bookmarkStart w:id="0" w:name="_GoBack"/>
      <w:bookmarkEnd w:id="0"/>
    </w:p>
    <w:p w:rsidR="00F42BEE" w:rsidRDefault="00F42BEE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On considère un tore d’axe </w:t>
      </w:r>
      <m:oMath>
        <m:r>
          <w:rPr>
            <w:rFonts w:ascii="Cambria Math" w:hAnsi="Cambria Math"/>
            <w:sz w:val="20"/>
            <w:szCs w:val="20"/>
          </w:rPr>
          <m:t>Oz</m:t>
        </m:r>
      </m:oMath>
      <w:r w:rsidR="002E14B0">
        <w:rPr>
          <w:rFonts w:ascii="Comic Sans MS" w:hAnsi="Comic Sans MS"/>
          <w:sz w:val="20"/>
          <w:szCs w:val="20"/>
        </w:rPr>
        <w:t>, de</w:t>
      </w:r>
      <w:r>
        <w:rPr>
          <w:rFonts w:ascii="Comic Sans MS" w:hAnsi="Comic Sans MS"/>
          <w:sz w:val="20"/>
          <w:szCs w:val="20"/>
        </w:rPr>
        <w:t xml:space="preserve"> </w:t>
      </w:r>
      <w:r w:rsidR="002E14B0">
        <w:rPr>
          <w:rFonts w:ascii="Comic Sans MS" w:hAnsi="Comic Sans MS"/>
          <w:sz w:val="20"/>
          <w:szCs w:val="20"/>
        </w:rPr>
        <w:t>section carrée</w:t>
      </w:r>
      <w:r>
        <w:rPr>
          <w:rFonts w:ascii="Comic Sans MS" w:hAnsi="Comic Sans MS"/>
          <w:sz w:val="20"/>
          <w:szCs w:val="20"/>
        </w:rPr>
        <w:t xml:space="preserve">, de rayon intérieur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</m:t>
        </m:r>
      </m:oMath>
      <w:r>
        <w:rPr>
          <w:rFonts w:ascii="Comic Sans MS" w:hAnsi="Comic Sans MS"/>
          <w:sz w:val="20"/>
          <w:szCs w:val="20"/>
        </w:rPr>
        <w:t xml:space="preserve"> et de rayons extérieur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</m:t>
            </m:r>
          </m:sub>
        </m:sSub>
      </m:oMath>
      <w:r>
        <w:rPr>
          <w:rFonts w:ascii="Comic Sans MS" w:hAnsi="Comic Sans MS"/>
          <w:sz w:val="20"/>
          <w:szCs w:val="20"/>
        </w:rPr>
        <w:t>. Ce tore</w:t>
      </w:r>
      <w:r w:rsidR="002E14B0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constitué de </w:t>
      </w:r>
      <m:oMath>
        <m:r>
          <w:rPr>
            <w:rFonts w:ascii="Cambria Math" w:hAnsi="Cambria Math"/>
            <w:sz w:val="20"/>
            <w:szCs w:val="20"/>
          </w:rPr>
          <m:t>N</m:t>
        </m:r>
      </m:oMath>
      <w:r>
        <w:rPr>
          <w:rFonts w:ascii="Comic Sans MS" w:hAnsi="Comic Sans MS"/>
          <w:sz w:val="20"/>
          <w:szCs w:val="20"/>
        </w:rPr>
        <w:t xml:space="preserve"> spires jointives</w:t>
      </w:r>
      <w:r w:rsidR="00F30822">
        <w:rPr>
          <w:rFonts w:ascii="Comic Sans MS" w:hAnsi="Comic Sans MS"/>
          <w:sz w:val="20"/>
          <w:szCs w:val="20"/>
        </w:rPr>
        <w:t xml:space="preserve">, est parcouru par un </w:t>
      </w:r>
      <w:r>
        <w:rPr>
          <w:rFonts w:ascii="Comic Sans MS" w:hAnsi="Comic Sans MS"/>
          <w:sz w:val="20"/>
          <w:szCs w:val="20"/>
        </w:rPr>
        <w:t xml:space="preserve">courant d’intensité </w:t>
      </w:r>
      <m:oMath>
        <m:r>
          <w:rPr>
            <w:rFonts w:ascii="Cambria Math" w:hAnsi="Cambria Math"/>
            <w:sz w:val="20"/>
            <w:szCs w:val="20"/>
          </w:rPr>
          <m:t>i(t)</m:t>
        </m:r>
      </m:oMath>
      <w:r>
        <w:rPr>
          <w:rFonts w:ascii="Comic Sans MS" w:hAnsi="Comic Sans MS"/>
          <w:sz w:val="20"/>
          <w:szCs w:val="20"/>
        </w:rPr>
        <w:t xml:space="preserve"> (la distribution est analogue à une distribution surfacique de courant).</w:t>
      </w:r>
      <w:r w:rsidR="002D3716">
        <w:rPr>
          <w:rFonts w:ascii="Comic Sans MS" w:hAnsi="Comic Sans MS"/>
          <w:sz w:val="20"/>
          <w:szCs w:val="20"/>
        </w:rPr>
        <w:t xml:space="preserve"> On travaillera en ARQS.</w:t>
      </w:r>
    </w:p>
    <w:p w:rsidR="00CA2D33" w:rsidRPr="002D3716" w:rsidRDefault="002D3716" w:rsidP="00701591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Déterminer l’inductance propre de cette structure.</w:t>
      </w: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701591" w:rsidRDefault="00701591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2D3716" w:rsidRDefault="002D3716" w:rsidP="001776A8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1776A8" w:rsidRDefault="001776A8" w:rsidP="001776A8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1 : Banc </w:t>
      </w:r>
      <w:proofErr w:type="spellStart"/>
      <w:r>
        <w:rPr>
          <w:rFonts w:ascii="Comic Sans MS" w:hAnsi="Comic Sans MS"/>
          <w:b/>
          <w:color w:val="FF0000"/>
          <w:sz w:val="20"/>
          <w:szCs w:val="20"/>
          <w:u w:val="single"/>
        </w:rPr>
        <w:t>Kofler</w:t>
      </w:r>
      <w:proofErr w:type="spellEnd"/>
    </w:p>
    <w:p w:rsidR="001776A8" w:rsidRPr="00CA2D33" w:rsidRDefault="001776A8" w:rsidP="001776A8">
      <w:pPr>
        <w:pStyle w:val="NormalWeb"/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 w:rsidRPr="00CA2D33">
        <w:rPr>
          <w:rFonts w:ascii="Comic Sans MS" w:hAnsi="Comic Sans MS"/>
          <w:color w:val="92D050"/>
          <w:sz w:val="20"/>
          <w:szCs w:val="20"/>
          <w:u w:val="single"/>
        </w:rPr>
        <w:t>Questions</w:t>
      </w:r>
    </w:p>
    <w:p w:rsidR="001776A8" w:rsidRPr="000D1823" w:rsidRDefault="001776A8" w:rsidP="001776A8">
      <w:pPr>
        <w:pStyle w:val="NormalWeb"/>
        <w:numPr>
          <w:ilvl w:val="0"/>
          <w:numId w:val="5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0D1823">
        <w:rPr>
          <w:rFonts w:ascii="Comic Sans MS" w:hAnsi="Comic Sans MS"/>
          <w:color w:val="FF0000"/>
          <w:sz w:val="20"/>
          <w:szCs w:val="20"/>
        </w:rPr>
        <w:t>Les cristaux sont d’abord à placer dans la zone la plus froide cers la zone la plus chaude pour bien repérer la température de fusion.</w:t>
      </w:r>
    </w:p>
    <w:p w:rsidR="001776A8" w:rsidRPr="000D1823" w:rsidRDefault="001776A8" w:rsidP="001776A8">
      <w:pPr>
        <w:pStyle w:val="NormalWeb"/>
        <w:numPr>
          <w:ilvl w:val="0"/>
          <w:numId w:val="5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0D1823">
        <w:rPr>
          <w:rFonts w:ascii="Comic Sans MS" w:hAnsi="Comic Sans MS"/>
          <w:color w:val="FF0000"/>
          <w:sz w:val="20"/>
          <w:szCs w:val="20"/>
        </w:rPr>
        <w:t>Les processus de transfert thermiques sont lents…donc c’est la puissance moyenne électrique qui est à prendre en compte.</w:t>
      </w:r>
    </w:p>
    <w:p w:rsidR="001776A8" w:rsidRPr="000D1823" w:rsidRDefault="002D71A4" w:rsidP="001776A8">
      <w:pPr>
        <w:pStyle w:val="NormalWeb"/>
        <w:numPr>
          <w:ilvl w:val="0"/>
          <w:numId w:val="5"/>
        </w:num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L’égalité des flux rentrant et sortant </w:t>
      </w:r>
      <w:r w:rsidR="001776A8" w:rsidRPr="000D1823">
        <w:rPr>
          <w:rFonts w:ascii="Comic Sans MS" w:hAnsi="Comic Sans MS"/>
          <w:color w:val="FF0000"/>
          <w:sz w:val="20"/>
          <w:szCs w:val="20"/>
        </w:rPr>
        <w:t xml:space="preserve">sur une tranche de longueur </w:t>
      </w:r>
      <m:oMath>
        <m:r>
          <w:rPr>
            <w:rFonts w:ascii="Cambria Math" w:hAnsi="Cambria Math"/>
            <w:color w:val="FF0000"/>
            <w:sz w:val="20"/>
            <w:szCs w:val="20"/>
          </w:rPr>
          <m:t>dx</m:t>
        </m:r>
      </m:oMath>
    </w:p>
    <w:p w:rsidR="001776A8" w:rsidRPr="000D1823" w:rsidRDefault="002D71A4" w:rsidP="001776A8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-λ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ab=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-λ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∂T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∂x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x+dx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ab+2k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T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ext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a+b</m:t>
                  </m:r>
                </m:e>
              </m:d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dx</m:t>
              </m:r>
            </m:e>
          </m:d>
        </m:oMath>
      </m:oMathPara>
    </w:p>
    <w:p w:rsidR="000D1823" w:rsidRPr="000D1823" w:rsidRDefault="000D1823" w:rsidP="001776A8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w:r w:rsidRPr="000D1823">
        <w:rPr>
          <w:rFonts w:ascii="Comic Sans MS" w:hAnsi="Comic Sans MS"/>
          <w:color w:val="FF0000"/>
          <w:sz w:val="20"/>
          <w:szCs w:val="20"/>
        </w:rPr>
        <w:t xml:space="preserve">Soit :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∂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2k(a+b)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λab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T=-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2k(a+b)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λab</m:t>
            </m:r>
          </m:den>
        </m:f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ext</m:t>
            </m:r>
          </m:sub>
        </m:sSub>
      </m:oMath>
    </w:p>
    <w:p w:rsidR="000D1823" w:rsidRPr="000D1823" w:rsidRDefault="000D1823" w:rsidP="001776A8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w:r w:rsidRPr="000D1823">
        <w:rPr>
          <w:rFonts w:ascii="Comic Sans MS" w:hAnsi="Comic Sans MS"/>
          <w:color w:val="FF0000"/>
          <w:sz w:val="20"/>
          <w:szCs w:val="20"/>
        </w:rPr>
        <w:t>Le retour à la température extérieur avant la fin de la tige, impose alors une solution exponentiellement décroissante</w:t>
      </w:r>
      <w:r>
        <w:rPr>
          <w:rFonts w:ascii="Comic Sans MS" w:hAnsi="Comic Sans MS"/>
          <w:color w:val="FF0000"/>
          <w:sz w:val="20"/>
          <w:szCs w:val="20"/>
        </w:rPr>
        <w:t xml:space="preserve"> : </w:t>
      </w:r>
      <m:oMath>
        <m:r>
          <w:rPr>
            <w:rFonts w:ascii="Cambria Math" w:hAnsi="Cambria Math"/>
            <w:color w:val="FF0000"/>
            <w:sz w:val="20"/>
            <w:szCs w:val="2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ext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+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e>
            </m:d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ext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δ</m:t>
                </m:r>
              </m:den>
            </m:f>
          </m:sup>
        </m:sSup>
      </m:oMath>
      <w:r>
        <w:rPr>
          <w:rFonts w:ascii="Comic Sans MS" w:hAnsi="Comic Sans MS"/>
          <w:color w:val="FF0000"/>
          <w:sz w:val="20"/>
          <w:szCs w:val="20"/>
        </w:rPr>
        <w:t xml:space="preserve"> avec </w:t>
      </w:r>
      <m:oMath>
        <m:r>
          <w:rPr>
            <w:rFonts w:ascii="Cambria Math" w:hAnsi="Cambria Math"/>
            <w:color w:val="FF0000"/>
            <w:sz w:val="20"/>
            <w:szCs w:val="20"/>
          </w:rPr>
          <m:t>δ=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λab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2k(a+b)</m:t>
                </m:r>
              </m:den>
            </m:f>
          </m:e>
        </m:rad>
        <m:r>
          <w:rPr>
            <w:rFonts w:ascii="Cambria Math" w:hAnsi="Cambria Math"/>
            <w:color w:val="FF0000"/>
            <w:sz w:val="20"/>
            <w:szCs w:val="20"/>
          </w:rPr>
          <m:t>≈8cm</m:t>
        </m:r>
      </m:oMath>
    </w:p>
    <w:p w:rsidR="000D1823" w:rsidRPr="000D1823" w:rsidRDefault="000D1823" w:rsidP="001776A8">
      <w:pPr>
        <w:pStyle w:val="NormalWeb"/>
        <w:numPr>
          <w:ilvl w:val="0"/>
          <w:numId w:val="5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0D1823">
        <w:rPr>
          <w:rFonts w:ascii="Comic Sans MS" w:hAnsi="Comic Sans MS"/>
          <w:color w:val="FF0000"/>
          <w:sz w:val="20"/>
          <w:szCs w:val="20"/>
        </w:rPr>
        <w:t xml:space="preserve">Après différenciation : </w:t>
      </w:r>
      <m:oMath>
        <m:r>
          <w:rPr>
            <w:rFonts w:ascii="Cambria Math" w:hAnsi="Cambria Math"/>
            <w:color w:val="FF0000"/>
            <w:sz w:val="20"/>
            <w:szCs w:val="20"/>
          </w:rPr>
          <m:t>∆T≈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ext</m:t>
                    </m:r>
                  </m:sub>
                </m:sSub>
              </m:e>
            </m:d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δ</m:t>
                    </m:r>
                  </m:den>
                </m:f>
              </m:sup>
            </m:sSup>
            <m:r>
              <w:rPr>
                <w:rFonts w:ascii="Cambria Math" w:hAnsi="Cambria Math"/>
                <w:color w:val="FF0000"/>
                <w:sz w:val="20"/>
                <w:szCs w:val="20"/>
              </w:rPr>
              <m:t>∆x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δ</m:t>
            </m:r>
          </m:den>
        </m:f>
      </m:oMath>
      <w:r w:rsidR="006114F2">
        <w:rPr>
          <w:rFonts w:ascii="Comic Sans MS" w:hAnsi="Comic Sans MS"/>
          <w:color w:val="FF0000"/>
          <w:sz w:val="20"/>
          <w:szCs w:val="20"/>
        </w:rPr>
        <w:t xml:space="preserve"> donc à 8cm</w:t>
      </w:r>
      <w:r>
        <w:rPr>
          <w:rFonts w:ascii="Comic Sans MS" w:hAnsi="Comic Sans MS"/>
          <w:color w:val="FF0000"/>
          <w:sz w:val="20"/>
          <w:szCs w:val="20"/>
        </w:rPr>
        <w:t xml:space="preserve"> </w:t>
      </w:r>
      <m:oMath>
        <m:r>
          <w:rPr>
            <w:rFonts w:ascii="Cambria Math" w:hAnsi="Cambria Math"/>
            <w:color w:val="FF0000"/>
            <w:sz w:val="20"/>
            <w:szCs w:val="20"/>
          </w:rPr>
          <m:t>∆T≈1,4°C</m:t>
        </m:r>
      </m:oMath>
    </w:p>
    <w:p w:rsidR="001776A8" w:rsidRDefault="001776A8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14F2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701591" w:rsidRDefault="00701591" w:rsidP="006114F2">
      <w:pPr>
        <w:pStyle w:val="NormalWeb"/>
        <w:ind w:left="72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114F2" w:rsidRPr="00CA2D33" w:rsidRDefault="006114F2" w:rsidP="006114F2">
      <w:pPr>
        <w:pStyle w:val="NormalWeb"/>
        <w:ind w:left="72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CA2D33">
        <w:rPr>
          <w:rFonts w:ascii="Comic Sans MS" w:hAnsi="Comic Sans MS"/>
          <w:b/>
          <w:color w:val="FF0000"/>
          <w:sz w:val="20"/>
          <w:szCs w:val="20"/>
          <w:u w:val="single"/>
        </w:rPr>
        <w:t>Exercice 2 : Magnétisme</w:t>
      </w:r>
    </w:p>
    <w:p w:rsidR="006114F2" w:rsidRPr="002D3716" w:rsidRDefault="002D3716" w:rsidP="00701591">
      <w:pPr>
        <w:pStyle w:val="NormalWeb"/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 xml:space="preserve">Le champ magnétique est </w:t>
      </w:r>
      <w:proofErr w:type="spellStart"/>
      <w:r w:rsidRPr="002D3716">
        <w:rPr>
          <w:rFonts w:ascii="Comic Sans MS" w:hAnsi="Comic Sans MS"/>
          <w:color w:val="FF0000"/>
          <w:sz w:val="20"/>
          <w:szCs w:val="20"/>
        </w:rPr>
        <w:t>orthoradial</w:t>
      </w:r>
      <w:proofErr w:type="spellEnd"/>
      <w:r w:rsidRPr="002D3716">
        <w:rPr>
          <w:rFonts w:ascii="Comic Sans MS" w:hAnsi="Comic Sans MS"/>
          <w:color w:val="FF0000"/>
          <w:sz w:val="20"/>
          <w:szCs w:val="20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B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ϴ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(r)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ϴ</m:t>
                </m:r>
              </m:sub>
            </m:sSub>
          </m:e>
        </m:acc>
      </m:oMath>
    </w:p>
    <w:p w:rsidR="006114F2" w:rsidRPr="002D3716" w:rsidRDefault="002D3716" w:rsidP="00701591">
      <w:pPr>
        <w:pStyle w:val="NormalWeb"/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 xml:space="preserve">Le champ est non nul dans le tore (et nul autrement) :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B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Ni(t)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2πr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ϴ</m:t>
                </m:r>
              </m:sub>
            </m:sSub>
          </m:e>
        </m:acc>
      </m:oMath>
    </w:p>
    <w:p w:rsidR="002D3716" w:rsidRPr="002D3716" w:rsidRDefault="002D3716" w:rsidP="00701591">
      <w:pPr>
        <w:pStyle w:val="NormalWeb"/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>On peut obtenir l’inductance propre par :</w:t>
      </w:r>
    </w:p>
    <w:p w:rsidR="006114F2" w:rsidRPr="002D3716" w:rsidRDefault="002D3716" w:rsidP="002D3716">
      <w:pPr>
        <w:pStyle w:val="NormalWeb"/>
        <w:numPr>
          <w:ilvl w:val="0"/>
          <w:numId w:val="7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 xml:space="preserve">Le flux du champ magnétique n’est pas uniforme donc : </w:t>
      </w:r>
      <m:oMath>
        <m:r>
          <w:rPr>
            <w:rFonts w:ascii="Cambria Math" w:hAnsi="Cambria Math"/>
            <w:color w:val="FF0000"/>
            <w:sz w:val="20"/>
            <w:szCs w:val="20"/>
          </w:rPr>
          <m:t>ϕ=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N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den>
        </m:f>
        <m:func>
          <m:func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color w:val="FF0000"/>
                <w:sz w:val="20"/>
                <w:szCs w:val="20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I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)i(t)</m:t>
            </m:r>
          </m:e>
        </m:func>
      </m:oMath>
    </w:p>
    <w:p w:rsidR="002D3716" w:rsidRPr="002D3716" w:rsidRDefault="002D3716" w:rsidP="002D3716">
      <w:pPr>
        <w:pStyle w:val="NormalWeb"/>
        <w:numPr>
          <w:ilvl w:val="0"/>
          <w:numId w:val="7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 xml:space="preserve">Par analyse énergétique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</m:t>
        </m:r>
        <m:nary>
          <m:naryPr>
            <m:chr m:val="∭"/>
            <m:limLoc m:val="subSup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  <m:r>
              <w:rPr>
                <w:rFonts w:ascii="Cambria Math" w:hAnsi="Cambria Math"/>
                <w:color w:val="FF0000"/>
                <w:sz w:val="20"/>
                <w:szCs w:val="20"/>
              </w:rPr>
              <m:t>dV</m:t>
            </m:r>
          </m:e>
        </m:nary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L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i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p>
        </m:sSup>
      </m:oMath>
    </w:p>
    <w:p w:rsidR="002D3716" w:rsidRPr="002D3716" w:rsidRDefault="002D3716" w:rsidP="002D3716">
      <w:pPr>
        <w:pStyle w:val="NormalWeb"/>
        <w:jc w:val="both"/>
        <w:rPr>
          <w:rFonts w:ascii="Comic Sans MS" w:hAnsi="Comic Sans MS"/>
          <w:color w:val="FF0000"/>
          <w:sz w:val="20"/>
          <w:szCs w:val="20"/>
        </w:rPr>
      </w:pPr>
      <w:r w:rsidRPr="002D3716">
        <w:rPr>
          <w:rFonts w:ascii="Comic Sans MS" w:hAnsi="Comic Sans MS"/>
          <w:color w:val="FF0000"/>
          <w:sz w:val="20"/>
          <w:szCs w:val="20"/>
        </w:rPr>
        <w:t xml:space="preserve">On trouve dans les deux cas : </w:t>
      </w:r>
      <m:oMath>
        <m:r>
          <w:rPr>
            <w:rFonts w:ascii="Cambria Math" w:hAnsi="Cambria Math"/>
            <w:color w:val="FF0000"/>
            <w:sz w:val="20"/>
            <w:szCs w:val="20"/>
          </w:rPr>
          <m:t>L=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N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(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I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)</m:t>
        </m:r>
        <m:func>
          <m:func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den>
                </m:f>
              </m:e>
            </m:d>
          </m:e>
        </m:func>
      </m:oMath>
    </w:p>
    <w:p w:rsidR="006114F2" w:rsidRPr="00ED35CA" w:rsidRDefault="006114F2" w:rsidP="00CA2D33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sectPr w:rsidR="006114F2" w:rsidRPr="00ED35CA" w:rsidSect="00CC6C6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EBF" w:rsidRDefault="00096EBF" w:rsidP="00ED35CA">
      <w:pPr>
        <w:spacing w:after="0" w:line="240" w:lineRule="auto"/>
      </w:pPr>
      <w:r>
        <w:separator/>
      </w:r>
    </w:p>
  </w:endnote>
  <w:endnote w:type="continuationSeparator" w:id="0">
    <w:p w:rsidR="00096EBF" w:rsidRDefault="00096EBF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6A8" w:rsidRPr="001776A8" w:rsidRDefault="001776A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1776A8">
      <w:rPr>
        <w:rFonts w:asciiTheme="majorHAnsi" w:hAnsiTheme="majorHAnsi"/>
        <w:i/>
      </w:rPr>
      <w:ptab w:relativeTo="margin" w:alignment="right" w:leader="none"/>
    </w:r>
    <w:r w:rsidRPr="001776A8">
      <w:rPr>
        <w:rFonts w:asciiTheme="majorHAnsi" w:hAnsiTheme="majorHAnsi"/>
        <w:i/>
      </w:rPr>
      <w:t xml:space="preserve">Page </w:t>
    </w:r>
    <w:r w:rsidR="009171E3" w:rsidRPr="001776A8">
      <w:rPr>
        <w:i/>
      </w:rPr>
      <w:fldChar w:fldCharType="begin"/>
    </w:r>
    <w:r w:rsidRPr="001776A8">
      <w:rPr>
        <w:i/>
      </w:rPr>
      <w:instrText xml:space="preserve"> PAGE   \* MERGEFORMAT </w:instrText>
    </w:r>
    <w:r w:rsidR="009171E3" w:rsidRPr="001776A8">
      <w:rPr>
        <w:i/>
      </w:rPr>
      <w:fldChar w:fldCharType="separate"/>
    </w:r>
    <w:r w:rsidR="00F30822" w:rsidRPr="00F30822">
      <w:rPr>
        <w:rFonts w:asciiTheme="majorHAnsi" w:hAnsiTheme="majorHAnsi"/>
        <w:i/>
        <w:noProof/>
      </w:rPr>
      <w:t>4</w:t>
    </w:r>
    <w:r w:rsidR="009171E3" w:rsidRPr="001776A8">
      <w:rPr>
        <w:i/>
      </w:rPr>
      <w:fldChar w:fldCharType="end"/>
    </w:r>
  </w:p>
  <w:p w:rsidR="001776A8" w:rsidRDefault="001776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EBF" w:rsidRDefault="00096EBF" w:rsidP="00ED35CA">
      <w:pPr>
        <w:spacing w:after="0" w:line="240" w:lineRule="auto"/>
      </w:pPr>
      <w:r>
        <w:separator/>
      </w:r>
    </w:p>
  </w:footnote>
  <w:footnote w:type="continuationSeparator" w:id="0">
    <w:p w:rsidR="00096EBF" w:rsidRDefault="00096EBF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096EBF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1776A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992948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776A8">
          <w:rPr>
            <w:color w:val="365F91" w:themeColor="accent1" w:themeShade="BF"/>
          </w:rPr>
          <w:t>TSI2</w:t>
        </w:r>
      </w:sdtContent>
    </w:sdt>
  </w:p>
  <w:p w:rsidR="00B92812" w:rsidRDefault="00992948" w:rsidP="00992948">
    <w:pPr>
      <w:pStyle w:val="En-tte"/>
      <w:jc w:val="center"/>
    </w:pPr>
    <w:r>
      <w:rPr>
        <w:noProof/>
      </w:rPr>
      <w:drawing>
        <wp:inline distT="0" distB="0" distL="0" distR="0" wp14:anchorId="6098AF6C" wp14:editId="5C8EA2E4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11956"/>
    <w:multiLevelType w:val="hybridMultilevel"/>
    <w:tmpl w:val="E6DC0972"/>
    <w:lvl w:ilvl="0" w:tplc="0284F754"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13FB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7AB5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830F7"/>
    <w:rsid w:val="00096EBF"/>
    <w:rsid w:val="000D1823"/>
    <w:rsid w:val="00101421"/>
    <w:rsid w:val="00121195"/>
    <w:rsid w:val="00174E8B"/>
    <w:rsid w:val="001776A8"/>
    <w:rsid w:val="001801D9"/>
    <w:rsid w:val="001B4CB7"/>
    <w:rsid w:val="001D060E"/>
    <w:rsid w:val="001F5C39"/>
    <w:rsid w:val="00233F9E"/>
    <w:rsid w:val="002405A3"/>
    <w:rsid w:val="00246E4C"/>
    <w:rsid w:val="00254871"/>
    <w:rsid w:val="00291DE0"/>
    <w:rsid w:val="002A595C"/>
    <w:rsid w:val="002B792E"/>
    <w:rsid w:val="002D3716"/>
    <w:rsid w:val="002D71A4"/>
    <w:rsid w:val="002E14B0"/>
    <w:rsid w:val="002F0690"/>
    <w:rsid w:val="00311F49"/>
    <w:rsid w:val="00327269"/>
    <w:rsid w:val="003824B2"/>
    <w:rsid w:val="003C1079"/>
    <w:rsid w:val="00422AED"/>
    <w:rsid w:val="00465B14"/>
    <w:rsid w:val="004F3CBD"/>
    <w:rsid w:val="0051083A"/>
    <w:rsid w:val="00542EBF"/>
    <w:rsid w:val="005B45DF"/>
    <w:rsid w:val="005D4DAD"/>
    <w:rsid w:val="005E13E1"/>
    <w:rsid w:val="005E308E"/>
    <w:rsid w:val="005F228F"/>
    <w:rsid w:val="006114F2"/>
    <w:rsid w:val="00656FB7"/>
    <w:rsid w:val="00657514"/>
    <w:rsid w:val="006A154C"/>
    <w:rsid w:val="00701591"/>
    <w:rsid w:val="007051F3"/>
    <w:rsid w:val="00721C3A"/>
    <w:rsid w:val="00727BA7"/>
    <w:rsid w:val="00763C94"/>
    <w:rsid w:val="00777D37"/>
    <w:rsid w:val="007F104B"/>
    <w:rsid w:val="00810896"/>
    <w:rsid w:val="0081167A"/>
    <w:rsid w:val="008304D9"/>
    <w:rsid w:val="00853F18"/>
    <w:rsid w:val="00854820"/>
    <w:rsid w:val="00861E05"/>
    <w:rsid w:val="008A7CD9"/>
    <w:rsid w:val="008D33DF"/>
    <w:rsid w:val="009010B8"/>
    <w:rsid w:val="0091464A"/>
    <w:rsid w:val="009171E3"/>
    <w:rsid w:val="00930D46"/>
    <w:rsid w:val="00935DE1"/>
    <w:rsid w:val="009576DB"/>
    <w:rsid w:val="00980AE3"/>
    <w:rsid w:val="009821B4"/>
    <w:rsid w:val="00992948"/>
    <w:rsid w:val="009A1E4A"/>
    <w:rsid w:val="009A647E"/>
    <w:rsid w:val="00A0078C"/>
    <w:rsid w:val="00A1240C"/>
    <w:rsid w:val="00A447E9"/>
    <w:rsid w:val="00A5296C"/>
    <w:rsid w:val="00A63032"/>
    <w:rsid w:val="00A7281C"/>
    <w:rsid w:val="00A83F8F"/>
    <w:rsid w:val="00A84030"/>
    <w:rsid w:val="00A945FD"/>
    <w:rsid w:val="00AA3231"/>
    <w:rsid w:val="00AE345E"/>
    <w:rsid w:val="00AE4889"/>
    <w:rsid w:val="00AF1F42"/>
    <w:rsid w:val="00B06879"/>
    <w:rsid w:val="00B27390"/>
    <w:rsid w:val="00B83FE9"/>
    <w:rsid w:val="00BC50AF"/>
    <w:rsid w:val="00C944BB"/>
    <w:rsid w:val="00CA2D33"/>
    <w:rsid w:val="00CB27E2"/>
    <w:rsid w:val="00CB52D2"/>
    <w:rsid w:val="00CC6C63"/>
    <w:rsid w:val="00CD3319"/>
    <w:rsid w:val="00CE2AFE"/>
    <w:rsid w:val="00CF2888"/>
    <w:rsid w:val="00D239D7"/>
    <w:rsid w:val="00D77127"/>
    <w:rsid w:val="00D82716"/>
    <w:rsid w:val="00DA79A7"/>
    <w:rsid w:val="00E93805"/>
    <w:rsid w:val="00E96F8D"/>
    <w:rsid w:val="00ED35CA"/>
    <w:rsid w:val="00ED709D"/>
    <w:rsid w:val="00EF6E3F"/>
    <w:rsid w:val="00F30460"/>
    <w:rsid w:val="00F30822"/>
    <w:rsid w:val="00F36B5C"/>
    <w:rsid w:val="00F42BEE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6557328D"/>
  <w15:docId w15:val="{EB2CF6EE-861F-4FD7-9410-F69D9842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emp%C3%A9rature_de_fusio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r.wikipedia.org/wiki/%C3%89chantillon_(mati%C3%A8re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Gradien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54360B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54360B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735D9"/>
    <w:rsid w:val="000B7847"/>
    <w:rsid w:val="00333E54"/>
    <w:rsid w:val="00441615"/>
    <w:rsid w:val="00500EE4"/>
    <w:rsid w:val="0054360B"/>
    <w:rsid w:val="006D1D20"/>
    <w:rsid w:val="0080345A"/>
    <w:rsid w:val="00EA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EA54B4"/>
    <w:rPr>
      <w:color w:val="808080"/>
    </w:rPr>
  </w:style>
  <w:style w:type="paragraph" w:customStyle="1" w:styleId="12F22219CBE8459488546C8BEB8CA02A">
    <w:name w:val="12F22219CBE8459488546C8BEB8CA02A"/>
    <w:rsid w:val="00500E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29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14</cp:revision>
  <dcterms:created xsi:type="dcterms:W3CDTF">2016-04-14T13:24:00Z</dcterms:created>
  <dcterms:modified xsi:type="dcterms:W3CDTF">2019-05-03T09:12:00Z</dcterms:modified>
</cp:coreProperties>
</file>